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56C27" w14:textId="77777777" w:rsidR="00192FDA" w:rsidRPr="00224F04" w:rsidRDefault="00192FDA" w:rsidP="00192FDA">
      <w:pPr>
        <w:jc w:val="center"/>
        <w:rPr>
          <w:b/>
          <w:bCs/>
        </w:rPr>
      </w:pPr>
      <w:r w:rsidRPr="00224F04">
        <w:rPr>
          <w:b/>
          <w:bCs/>
        </w:rPr>
        <w:t>STATE OF GEORGIA</w:t>
      </w:r>
    </w:p>
    <w:p w14:paraId="2A031472" w14:textId="77777777" w:rsidR="00192FDA" w:rsidRPr="00224F04" w:rsidRDefault="00192FDA" w:rsidP="00192FDA">
      <w:pPr>
        <w:jc w:val="center"/>
        <w:rPr>
          <w:b/>
          <w:bCs/>
        </w:rPr>
      </w:pPr>
    </w:p>
    <w:p w14:paraId="5334320E" w14:textId="77777777" w:rsidR="00192FDA" w:rsidRPr="00224F04" w:rsidRDefault="00192FDA" w:rsidP="00192FDA">
      <w:pPr>
        <w:jc w:val="center"/>
        <w:rPr>
          <w:b/>
          <w:bCs/>
        </w:rPr>
      </w:pPr>
      <w:r w:rsidRPr="00224F04">
        <w:rPr>
          <w:b/>
          <w:bCs/>
        </w:rPr>
        <w:t>BEFORE THE PUBLIC SERVICE COMMISSION</w:t>
      </w:r>
    </w:p>
    <w:p w14:paraId="1471185B" w14:textId="77777777" w:rsidR="00192FDA" w:rsidRDefault="00192FDA" w:rsidP="00192FDA">
      <w:pPr>
        <w:jc w:val="center"/>
        <w:rPr>
          <w:highlight w:val="yellow"/>
        </w:rPr>
      </w:pPr>
    </w:p>
    <w:p w14:paraId="51C029A8" w14:textId="77777777" w:rsidR="00192FDA" w:rsidRPr="00224F04" w:rsidRDefault="00192FDA" w:rsidP="00192FDA">
      <w:pPr>
        <w:jc w:val="center"/>
        <w:rPr>
          <w:highlight w:val="yellow"/>
        </w:rPr>
      </w:pPr>
    </w:p>
    <w:p w14:paraId="540B00A0" w14:textId="77777777" w:rsidR="00192FDA" w:rsidRPr="009A5B64" w:rsidRDefault="00192FDA" w:rsidP="00192FDA">
      <w:r w:rsidRPr="009A5B64">
        <w:t>CITY OF CARTERSVILLE,</w:t>
      </w:r>
      <w:r w:rsidRPr="009A5B64">
        <w:tab/>
      </w:r>
      <w:r w:rsidRPr="009A5B64">
        <w:tab/>
      </w:r>
      <w:r w:rsidRPr="009A5B64">
        <w:tab/>
      </w:r>
      <w:r w:rsidRPr="009A5B64">
        <w:tab/>
        <w:t>)</w:t>
      </w:r>
    </w:p>
    <w:p w14:paraId="4523D7DC" w14:textId="77777777" w:rsidR="00192FDA" w:rsidRPr="009A5B64" w:rsidRDefault="00192FDA" w:rsidP="00192FDA">
      <w:r w:rsidRPr="009A5B64">
        <w:tab/>
      </w:r>
      <w:r w:rsidRPr="009A5B64">
        <w:tab/>
      </w:r>
      <w:r w:rsidRPr="009A5B64">
        <w:tab/>
      </w:r>
      <w:r w:rsidRPr="009A5B64">
        <w:tab/>
      </w:r>
      <w:r w:rsidRPr="009A5B64">
        <w:tab/>
      </w:r>
      <w:r w:rsidRPr="009A5B64">
        <w:tab/>
      </w:r>
      <w:r w:rsidRPr="009A5B64">
        <w:tab/>
        <w:t>)</w:t>
      </w:r>
    </w:p>
    <w:p w14:paraId="0B1CF5AE" w14:textId="77777777" w:rsidR="00192FDA" w:rsidRPr="009A5B64" w:rsidRDefault="00192FDA" w:rsidP="00192FDA">
      <w:r w:rsidRPr="009A5B64">
        <w:tab/>
      </w:r>
      <w:r w:rsidRPr="009A5B64">
        <w:tab/>
        <w:t>Petitioner,</w:t>
      </w:r>
      <w:r w:rsidRPr="009A5B64">
        <w:tab/>
      </w:r>
      <w:r w:rsidRPr="009A5B64">
        <w:tab/>
      </w:r>
      <w:r w:rsidRPr="009A5B64">
        <w:tab/>
      </w:r>
      <w:r w:rsidRPr="009A5B64">
        <w:tab/>
        <w:t>)</w:t>
      </w:r>
    </w:p>
    <w:p w14:paraId="7109D71F" w14:textId="77777777" w:rsidR="00192FDA" w:rsidRPr="009A5B64" w:rsidRDefault="00192FDA" w:rsidP="00192FDA">
      <w:r w:rsidRPr="009A5B64">
        <w:tab/>
      </w:r>
      <w:r w:rsidRPr="009A5B64">
        <w:tab/>
      </w:r>
      <w:r w:rsidRPr="009A5B64">
        <w:tab/>
      </w:r>
      <w:r w:rsidRPr="009A5B64">
        <w:tab/>
      </w:r>
      <w:r w:rsidRPr="009A5B64">
        <w:tab/>
      </w:r>
      <w:r w:rsidRPr="009A5B64">
        <w:tab/>
      </w:r>
      <w:r w:rsidRPr="009A5B64">
        <w:tab/>
        <w:t>)</w:t>
      </w:r>
    </w:p>
    <w:p w14:paraId="218EA1F8" w14:textId="77777777" w:rsidR="00192FDA" w:rsidRPr="009A5B64" w:rsidRDefault="00192FDA" w:rsidP="00192FDA">
      <w:r w:rsidRPr="009A5B64">
        <w:tab/>
        <w:t>v.</w:t>
      </w:r>
      <w:r w:rsidRPr="009A5B64">
        <w:tab/>
      </w:r>
      <w:r w:rsidRPr="009A5B64">
        <w:tab/>
      </w:r>
      <w:r w:rsidRPr="009A5B64">
        <w:tab/>
      </w:r>
      <w:r w:rsidRPr="009A5B64">
        <w:tab/>
      </w:r>
      <w:r w:rsidRPr="009A5B64">
        <w:tab/>
      </w:r>
      <w:r w:rsidRPr="009A5B64">
        <w:tab/>
        <w:t>)</w:t>
      </w:r>
      <w:r w:rsidRPr="009A5B64">
        <w:tab/>
      </w:r>
      <w:r>
        <w:tab/>
      </w:r>
      <w:r w:rsidRPr="009A5B64">
        <w:t xml:space="preserve">Docket No. </w:t>
      </w:r>
      <w:r>
        <w:t>55973</w:t>
      </w:r>
    </w:p>
    <w:p w14:paraId="77E87B89" w14:textId="77777777" w:rsidR="00192FDA" w:rsidRPr="009A5B64" w:rsidRDefault="00192FDA" w:rsidP="00192FDA">
      <w:r w:rsidRPr="009A5B64">
        <w:tab/>
      </w:r>
      <w:r w:rsidRPr="009A5B64">
        <w:tab/>
      </w:r>
      <w:r w:rsidRPr="009A5B64">
        <w:tab/>
      </w:r>
      <w:r w:rsidRPr="009A5B64">
        <w:tab/>
      </w:r>
      <w:r w:rsidRPr="009A5B64">
        <w:tab/>
      </w:r>
      <w:r w:rsidRPr="009A5B64">
        <w:tab/>
      </w:r>
      <w:r w:rsidRPr="009A5B64">
        <w:tab/>
        <w:t>)</w:t>
      </w:r>
    </w:p>
    <w:p w14:paraId="2CD82BCF" w14:textId="77777777" w:rsidR="00192FDA" w:rsidRPr="009A5B64" w:rsidRDefault="00192FDA" w:rsidP="00192FDA">
      <w:r w:rsidRPr="009A5B64">
        <w:t>GEORGIA POWER COMPANY,</w:t>
      </w:r>
      <w:r w:rsidRPr="009A5B64">
        <w:tab/>
      </w:r>
      <w:r w:rsidRPr="009A5B64">
        <w:tab/>
      </w:r>
      <w:r w:rsidRPr="009A5B64">
        <w:tab/>
        <w:t>)</w:t>
      </w:r>
    </w:p>
    <w:p w14:paraId="7C15738C" w14:textId="77777777" w:rsidR="00192FDA" w:rsidRPr="009A5B64" w:rsidRDefault="00192FDA" w:rsidP="00192FDA">
      <w:r w:rsidRPr="009A5B64">
        <w:tab/>
      </w:r>
      <w:r w:rsidRPr="009A5B64">
        <w:tab/>
      </w:r>
      <w:r w:rsidRPr="009A5B64">
        <w:tab/>
      </w:r>
      <w:r w:rsidRPr="009A5B64">
        <w:tab/>
      </w:r>
      <w:r w:rsidRPr="009A5B64">
        <w:tab/>
      </w:r>
      <w:r w:rsidRPr="009A5B64">
        <w:tab/>
      </w:r>
      <w:r w:rsidRPr="009A5B64">
        <w:tab/>
        <w:t>)</w:t>
      </w:r>
    </w:p>
    <w:p w14:paraId="5DFEA969" w14:textId="77777777" w:rsidR="00192FDA" w:rsidRPr="009A5B64" w:rsidRDefault="00192FDA" w:rsidP="00192FDA">
      <w:r w:rsidRPr="009A5B64">
        <w:tab/>
      </w:r>
      <w:r w:rsidRPr="009A5B64">
        <w:tab/>
        <w:t>Respondent.</w:t>
      </w:r>
      <w:r w:rsidRPr="009A5B64">
        <w:tab/>
      </w:r>
      <w:r w:rsidRPr="009A5B64">
        <w:tab/>
      </w:r>
      <w:r w:rsidRPr="009A5B64">
        <w:tab/>
      </w:r>
      <w:r w:rsidRPr="009A5B64">
        <w:tab/>
        <w:t>)</w:t>
      </w:r>
    </w:p>
    <w:p w14:paraId="0DB5FC30" w14:textId="77777777" w:rsidR="00192FDA" w:rsidRPr="00CC79B8" w:rsidRDefault="00192FDA" w:rsidP="00192FDA">
      <w:pPr>
        <w:rPr>
          <w:highlight w:val="yellow"/>
        </w:rPr>
      </w:pPr>
    </w:p>
    <w:p w14:paraId="19986527" w14:textId="77777777" w:rsidR="00192FDA" w:rsidRPr="00CC79B8" w:rsidRDefault="00192FDA" w:rsidP="00192FDA">
      <w:pPr>
        <w:rPr>
          <w:highlight w:val="yellow"/>
        </w:rPr>
      </w:pPr>
    </w:p>
    <w:p w14:paraId="066D46FD" w14:textId="4E8263AE" w:rsidR="00192FDA" w:rsidRDefault="00192FDA" w:rsidP="00192FDA">
      <w:pPr>
        <w:spacing w:after="240"/>
        <w:jc w:val="center"/>
        <w:rPr>
          <w:b/>
          <w:bCs/>
          <w:u w:val="single"/>
        </w:rPr>
      </w:pPr>
      <w:r>
        <w:rPr>
          <w:b/>
          <w:bCs/>
          <w:u w:val="single"/>
        </w:rPr>
        <w:t>GEORGIA POWER COMPANY</w:t>
      </w:r>
      <w:r w:rsidR="00AE6791">
        <w:rPr>
          <w:b/>
          <w:bCs/>
          <w:u w:val="single"/>
        </w:rPr>
        <w:t>’</w:t>
      </w:r>
      <w:r>
        <w:rPr>
          <w:b/>
          <w:bCs/>
          <w:u w:val="single"/>
        </w:rPr>
        <w:t xml:space="preserve">S REPLY </w:t>
      </w:r>
      <w:r w:rsidR="0006782A">
        <w:rPr>
          <w:b/>
          <w:bCs/>
          <w:u w:val="single"/>
        </w:rPr>
        <w:t xml:space="preserve">IN SUPPORT OF ITS </w:t>
      </w:r>
      <w:r>
        <w:rPr>
          <w:b/>
          <w:bCs/>
          <w:u w:val="single"/>
        </w:rPr>
        <w:t>MOTION FOR SUMMARY JUDGMENT</w:t>
      </w:r>
    </w:p>
    <w:p w14:paraId="6DA42F8A" w14:textId="46537AEF" w:rsidR="00590FA4" w:rsidRPr="00590FA4" w:rsidRDefault="00192FDA" w:rsidP="00EB08D8">
      <w:pPr>
        <w:spacing w:line="480" w:lineRule="auto"/>
        <w:ind w:firstLine="720"/>
        <w:jc w:val="both"/>
      </w:pPr>
      <w:r w:rsidRPr="00405F21">
        <w:t>COMES NOW, Respondent Georgia Power Company (</w:t>
      </w:r>
      <w:r w:rsidR="00AE6791">
        <w:t>“</w:t>
      </w:r>
      <w:r w:rsidRPr="00405F21">
        <w:t>Georgia Power</w:t>
      </w:r>
      <w:r w:rsidR="00AE6791">
        <w:t>”</w:t>
      </w:r>
      <w:r w:rsidRPr="00405F21">
        <w:t xml:space="preserve"> or the </w:t>
      </w:r>
      <w:r w:rsidR="00AE6791">
        <w:t>“</w:t>
      </w:r>
      <w:r w:rsidRPr="00405F21">
        <w:t>Company</w:t>
      </w:r>
      <w:r w:rsidR="00AE6791">
        <w:t>”</w:t>
      </w:r>
      <w:r w:rsidRPr="00405F21">
        <w:t xml:space="preserve">) and hereby files this </w:t>
      </w:r>
      <w:r w:rsidR="00405F21" w:rsidRPr="00405F21">
        <w:t xml:space="preserve">Reply </w:t>
      </w:r>
      <w:r w:rsidR="0006782A">
        <w:t xml:space="preserve">in Support of its </w:t>
      </w:r>
      <w:r w:rsidR="00405F21" w:rsidRPr="00405F21">
        <w:t>Motion</w:t>
      </w:r>
      <w:r w:rsidRPr="00405F21">
        <w:t xml:space="preserve"> for Summary Judgment (</w:t>
      </w:r>
      <w:r w:rsidR="00AE6791">
        <w:t>“</w:t>
      </w:r>
      <w:r w:rsidR="00845A52" w:rsidRPr="00405F21">
        <w:t>Reply</w:t>
      </w:r>
      <w:r w:rsidR="00AE6791">
        <w:t>”</w:t>
      </w:r>
      <w:r w:rsidRPr="00405F21">
        <w:t>).</w:t>
      </w:r>
      <w:r w:rsidR="00E16028">
        <w:t xml:space="preserve"> </w:t>
      </w:r>
    </w:p>
    <w:p w14:paraId="47A40A2E" w14:textId="532CAF1B" w:rsidR="0085217E" w:rsidRDefault="0085217E" w:rsidP="0085217E">
      <w:pPr>
        <w:spacing w:line="480" w:lineRule="auto"/>
        <w:jc w:val="center"/>
        <w:rPr>
          <w:b/>
          <w:bCs/>
        </w:rPr>
      </w:pPr>
      <w:r>
        <w:rPr>
          <w:b/>
          <w:bCs/>
        </w:rPr>
        <w:t xml:space="preserve">I. </w:t>
      </w:r>
      <w:r>
        <w:rPr>
          <w:b/>
          <w:bCs/>
        </w:rPr>
        <w:tab/>
        <w:t>STANDARD FOR SUMMARY JUDGMENT</w:t>
      </w:r>
    </w:p>
    <w:p w14:paraId="33740C79" w14:textId="5C0CBAE5" w:rsidR="000E3A88" w:rsidRPr="00F97CB5" w:rsidRDefault="003A2135" w:rsidP="00F97CB5">
      <w:pPr>
        <w:pStyle w:val="FootnoteText"/>
        <w:spacing w:after="0" w:line="480" w:lineRule="auto"/>
        <w:jc w:val="both"/>
        <w:rPr>
          <w:rFonts w:eastAsia="Times New Roman"/>
          <w:sz w:val="24"/>
          <w:szCs w:val="24"/>
        </w:rPr>
      </w:pPr>
      <w:r w:rsidRPr="00F97CB5">
        <w:rPr>
          <w:rFonts w:eastAsia="Times New Roman"/>
          <w:sz w:val="24"/>
          <w:szCs w:val="24"/>
        </w:rPr>
        <w:t xml:space="preserve">Summary judgment is proper </w:t>
      </w:r>
      <w:r w:rsidR="000E3A88" w:rsidRPr="00F97CB5">
        <w:rPr>
          <w:rFonts w:eastAsia="Times New Roman"/>
          <w:sz w:val="24"/>
          <w:szCs w:val="24"/>
        </w:rPr>
        <w:t>when there are no genuine issues of material fact and the movant is entitled to judgment as a matter of law. O.C.G.A. §</w:t>
      </w:r>
      <w:r w:rsidR="000B219C">
        <w:rPr>
          <w:rFonts w:eastAsia="Times New Roman"/>
          <w:sz w:val="24"/>
          <w:szCs w:val="24"/>
        </w:rPr>
        <w:t xml:space="preserve"> </w:t>
      </w:r>
      <w:r w:rsidR="000E3A88" w:rsidRPr="00F97CB5">
        <w:rPr>
          <w:rFonts w:eastAsia="Times New Roman"/>
          <w:sz w:val="24"/>
          <w:szCs w:val="24"/>
        </w:rPr>
        <w:t xml:space="preserve">9-11-56. </w:t>
      </w:r>
      <w:r w:rsidR="0085217E" w:rsidRPr="00F97CB5">
        <w:rPr>
          <w:rFonts w:eastAsia="Times New Roman"/>
          <w:sz w:val="24"/>
          <w:szCs w:val="24"/>
        </w:rPr>
        <w:t>Georgia Power agrees with Petitioner</w:t>
      </w:r>
      <w:r w:rsidR="00583EBC" w:rsidRPr="00F97CB5">
        <w:rPr>
          <w:rFonts w:eastAsia="Times New Roman"/>
          <w:sz w:val="24"/>
          <w:szCs w:val="24"/>
        </w:rPr>
        <w:t xml:space="preserve"> City of Cartersville (</w:t>
      </w:r>
      <w:r w:rsidR="00AE6791" w:rsidRPr="00F97CB5">
        <w:rPr>
          <w:rFonts w:eastAsia="Times New Roman"/>
          <w:sz w:val="24"/>
          <w:szCs w:val="24"/>
        </w:rPr>
        <w:t>“</w:t>
      </w:r>
      <w:r w:rsidR="00583EBC" w:rsidRPr="00F97CB5">
        <w:rPr>
          <w:rFonts w:eastAsia="Times New Roman"/>
          <w:sz w:val="24"/>
          <w:szCs w:val="24"/>
        </w:rPr>
        <w:t>Petitioner</w:t>
      </w:r>
      <w:r w:rsidR="00AE6791" w:rsidRPr="00F97CB5">
        <w:rPr>
          <w:rFonts w:eastAsia="Times New Roman"/>
          <w:sz w:val="24"/>
          <w:szCs w:val="24"/>
        </w:rPr>
        <w:t>”</w:t>
      </w:r>
      <w:r w:rsidR="00583EBC" w:rsidRPr="00F97CB5">
        <w:rPr>
          <w:rFonts w:eastAsia="Times New Roman"/>
          <w:sz w:val="24"/>
          <w:szCs w:val="24"/>
        </w:rPr>
        <w:t>)</w:t>
      </w:r>
      <w:r w:rsidR="0085217E" w:rsidRPr="00F97CB5">
        <w:rPr>
          <w:rFonts w:eastAsia="Times New Roman"/>
          <w:sz w:val="24"/>
          <w:szCs w:val="24"/>
        </w:rPr>
        <w:t xml:space="preserve"> that </w:t>
      </w:r>
      <w:r w:rsidR="001750EA" w:rsidRPr="00F97CB5">
        <w:rPr>
          <w:rFonts w:eastAsia="Times New Roman"/>
          <w:sz w:val="24"/>
          <w:szCs w:val="24"/>
        </w:rPr>
        <w:t xml:space="preserve">a key issue in this case is </w:t>
      </w:r>
      <w:r w:rsidR="0085217E" w:rsidRPr="00F97CB5">
        <w:rPr>
          <w:rFonts w:eastAsia="Times New Roman"/>
          <w:sz w:val="24"/>
          <w:szCs w:val="24"/>
        </w:rPr>
        <w:t xml:space="preserve">whether the Premises was </w:t>
      </w:r>
      <w:r w:rsidR="00AE6791" w:rsidRPr="00F97CB5">
        <w:rPr>
          <w:rFonts w:eastAsia="Times New Roman"/>
          <w:sz w:val="24"/>
          <w:szCs w:val="24"/>
        </w:rPr>
        <w:t>“</w:t>
      </w:r>
      <w:r w:rsidR="0085217E" w:rsidRPr="00F97CB5">
        <w:rPr>
          <w:rFonts w:eastAsia="Times New Roman"/>
          <w:sz w:val="24"/>
          <w:szCs w:val="24"/>
        </w:rPr>
        <w:t>destroyed or dismantled</w:t>
      </w:r>
      <w:r w:rsidR="00AE6791" w:rsidRPr="00F97CB5">
        <w:rPr>
          <w:rFonts w:eastAsia="Times New Roman"/>
          <w:sz w:val="24"/>
          <w:szCs w:val="24"/>
        </w:rPr>
        <w:t>”</w:t>
      </w:r>
      <w:r w:rsidR="0085217E" w:rsidRPr="00F97CB5">
        <w:rPr>
          <w:rFonts w:eastAsia="Times New Roman"/>
          <w:sz w:val="24"/>
          <w:szCs w:val="24"/>
        </w:rPr>
        <w:t xml:space="preserve"> and not </w:t>
      </w:r>
      <w:r w:rsidR="00AE6791" w:rsidRPr="00F97CB5">
        <w:rPr>
          <w:rFonts w:eastAsia="Times New Roman"/>
          <w:sz w:val="24"/>
          <w:szCs w:val="24"/>
        </w:rPr>
        <w:t>“</w:t>
      </w:r>
      <w:r w:rsidR="0085217E" w:rsidRPr="00F97CB5">
        <w:rPr>
          <w:rFonts w:eastAsia="Times New Roman"/>
          <w:sz w:val="24"/>
          <w:szCs w:val="24"/>
        </w:rPr>
        <w:t>reconstructed . . . in substantial kind</w:t>
      </w:r>
      <w:r w:rsidR="00AE6791" w:rsidRPr="00F97CB5">
        <w:rPr>
          <w:rFonts w:eastAsia="Times New Roman"/>
          <w:sz w:val="24"/>
          <w:szCs w:val="24"/>
        </w:rPr>
        <w:t>”</w:t>
      </w:r>
      <w:r w:rsidR="0085217E" w:rsidRPr="00F97CB5">
        <w:rPr>
          <w:rFonts w:eastAsia="Times New Roman"/>
          <w:sz w:val="24"/>
          <w:szCs w:val="24"/>
        </w:rPr>
        <w:t xml:space="preserve"> as those terms are used in O.C.G.A. § 46-3-8(b) and that </w:t>
      </w:r>
      <w:r w:rsidR="0085217E" w:rsidRPr="00F97CB5">
        <w:rPr>
          <w:rFonts w:eastAsia="Times New Roman"/>
          <w:i/>
          <w:iCs/>
          <w:sz w:val="24"/>
          <w:szCs w:val="24"/>
        </w:rPr>
        <w:t>Walton</w:t>
      </w:r>
      <w:r w:rsidR="000E3A88">
        <w:rPr>
          <w:rFonts w:eastAsia="Times New Roman"/>
          <w:i/>
          <w:iCs/>
          <w:sz w:val="24"/>
          <w:szCs w:val="24"/>
        </w:rPr>
        <w:t xml:space="preserve"> Electric Membership Corp. v. Georgia Power Co.</w:t>
      </w:r>
      <w:r w:rsidR="000E3A88">
        <w:rPr>
          <w:rFonts w:eastAsia="Times New Roman"/>
          <w:sz w:val="24"/>
          <w:szCs w:val="24"/>
        </w:rPr>
        <w:t>,</w:t>
      </w:r>
      <w:r w:rsidR="00F820AE">
        <w:rPr>
          <w:rFonts w:eastAsia="Times New Roman"/>
          <w:sz w:val="24"/>
          <w:szCs w:val="24"/>
        </w:rPr>
        <w:t xml:space="preserve"> </w:t>
      </w:r>
      <w:r w:rsidR="0085217E" w:rsidRPr="00F97CB5">
        <w:rPr>
          <w:rFonts w:eastAsia="Times New Roman"/>
          <w:sz w:val="24"/>
          <w:szCs w:val="24"/>
        </w:rPr>
        <w:t>controls the outcome of this matter. (</w:t>
      </w:r>
      <w:r w:rsidR="00811454" w:rsidRPr="00F97CB5">
        <w:rPr>
          <w:rFonts w:eastAsia="Times New Roman"/>
          <w:sz w:val="24"/>
          <w:szCs w:val="24"/>
        </w:rPr>
        <w:t xml:space="preserve">Petitioner’s </w:t>
      </w:r>
      <w:r w:rsidR="0085217E" w:rsidRPr="00F97CB5">
        <w:rPr>
          <w:rFonts w:eastAsia="Times New Roman"/>
          <w:sz w:val="24"/>
          <w:szCs w:val="24"/>
        </w:rPr>
        <w:t>Brief at 1.)</w:t>
      </w:r>
      <w:r w:rsidRPr="00F97CB5">
        <w:rPr>
          <w:rFonts w:eastAsia="Times New Roman"/>
          <w:sz w:val="24"/>
          <w:szCs w:val="24"/>
        </w:rPr>
        <w:t xml:space="preserve"> </w:t>
      </w:r>
      <w:r w:rsidR="000E3A88" w:rsidRPr="00F97CB5">
        <w:rPr>
          <w:rFonts w:eastAsia="Times New Roman"/>
          <w:sz w:val="24"/>
          <w:szCs w:val="24"/>
        </w:rPr>
        <w:t>In determining the appropriate standard for review</w:t>
      </w:r>
      <w:r w:rsidR="000E3A88">
        <w:rPr>
          <w:rFonts w:eastAsia="Times New Roman"/>
          <w:sz w:val="24"/>
          <w:szCs w:val="24"/>
        </w:rPr>
        <w:t xml:space="preserve"> in </w:t>
      </w:r>
      <w:r w:rsidR="000E3A88">
        <w:rPr>
          <w:rFonts w:eastAsia="Times New Roman"/>
          <w:i/>
          <w:iCs/>
          <w:sz w:val="24"/>
          <w:szCs w:val="24"/>
        </w:rPr>
        <w:t>Walton</w:t>
      </w:r>
      <w:r w:rsidR="000E3A88" w:rsidRPr="00F97CB5">
        <w:rPr>
          <w:rFonts w:eastAsia="Times New Roman"/>
          <w:sz w:val="24"/>
          <w:szCs w:val="24"/>
        </w:rPr>
        <w:t xml:space="preserve">, the Supreme Court </w:t>
      </w:r>
      <w:r w:rsidR="00A969B7">
        <w:rPr>
          <w:rFonts w:eastAsia="Times New Roman"/>
          <w:sz w:val="24"/>
          <w:szCs w:val="24"/>
        </w:rPr>
        <w:t xml:space="preserve">of Georgia </w:t>
      </w:r>
      <w:r w:rsidR="000E3A88" w:rsidRPr="00F97CB5">
        <w:rPr>
          <w:rFonts w:eastAsia="Times New Roman"/>
          <w:sz w:val="24"/>
          <w:szCs w:val="24"/>
        </w:rPr>
        <w:t xml:space="preserve">explained that </w:t>
      </w:r>
    </w:p>
    <w:p w14:paraId="060F43B8" w14:textId="4A1BF498" w:rsidR="000E3A88" w:rsidRPr="00F97CB5" w:rsidRDefault="000E3A88" w:rsidP="00F97CB5">
      <w:pPr>
        <w:pStyle w:val="FootnoteText"/>
        <w:ind w:left="720" w:right="720" w:firstLine="0"/>
        <w:jc w:val="both"/>
        <w:rPr>
          <w:rFonts w:eastAsia="Times New Roman"/>
          <w:sz w:val="24"/>
          <w:szCs w:val="24"/>
        </w:rPr>
      </w:pPr>
      <w:r w:rsidRPr="00F97CB5">
        <w:rPr>
          <w:rFonts w:eastAsia="Times New Roman"/>
          <w:sz w:val="24"/>
          <w:szCs w:val="24"/>
        </w:rPr>
        <w:t xml:space="preserve">while the issue of the meaning of ‘destroyed or dismantled’ and reconstructed ‘in substantial kind’ under OCGA § 46-3-8 (b) is a subsidiary question of law, and the issue of what renovations and modifications Nestle made to the premises is an evidentiary question of fact, the ultimate issue of whether those evidentiary facts </w:t>
      </w:r>
      <w:r w:rsidRPr="00F97CB5">
        <w:rPr>
          <w:rFonts w:eastAsia="Times New Roman"/>
          <w:sz w:val="24"/>
          <w:szCs w:val="24"/>
        </w:rPr>
        <w:lastRenderedPageBreak/>
        <w:t>meet or add up to that legal standard as set forth in the statute is a mixed question of law and fact.</w:t>
      </w:r>
    </w:p>
    <w:p w14:paraId="31213889" w14:textId="43942C53" w:rsidR="000E3A88" w:rsidRDefault="000E3A88" w:rsidP="00F97CB5">
      <w:pPr>
        <w:spacing w:line="480" w:lineRule="auto"/>
        <w:jc w:val="both"/>
      </w:pPr>
      <w:r w:rsidRPr="00762A5A">
        <w:rPr>
          <w:i/>
          <w:iCs/>
        </w:rPr>
        <w:t>Walton Elec. Membership Corp. v. Georgia Power Co.</w:t>
      </w:r>
      <w:r w:rsidRPr="00762A5A">
        <w:t>, 320 Ga. 740, 746</w:t>
      </w:r>
      <w:r>
        <w:t xml:space="preserve"> </w:t>
      </w:r>
      <w:r w:rsidRPr="00762A5A">
        <w:t>(2025)</w:t>
      </w:r>
      <w:r>
        <w:t xml:space="preserve">. Because Georgia </w:t>
      </w:r>
      <w:r w:rsidRPr="003A2135">
        <w:t>Power accepts all facts alleged</w:t>
      </w:r>
      <w:r>
        <w:t xml:space="preserve"> by the Petitioner regarding changes to the Premises, the only remaining issue is a question of law.</w:t>
      </w:r>
      <w:r w:rsidR="00F820AE">
        <w:t xml:space="preserve"> Thus, where the dispositive issue is purely a question of law, summary judgment is appropriate.</w:t>
      </w:r>
    </w:p>
    <w:p w14:paraId="4FD57068" w14:textId="612DB262" w:rsidR="0085217E" w:rsidRPr="0085217E" w:rsidRDefault="000A0CF1" w:rsidP="00CE0B35">
      <w:pPr>
        <w:spacing w:line="480" w:lineRule="auto"/>
        <w:ind w:firstLine="720"/>
        <w:jc w:val="both"/>
        <w:rPr>
          <w:highlight w:val="yellow"/>
        </w:rPr>
      </w:pPr>
      <w:r>
        <w:t>Petitioner argues that because there is a dispute regarding whether the Premises was “</w:t>
      </w:r>
      <w:r w:rsidRPr="00845A52">
        <w:t>destroyed or dismantled</w:t>
      </w:r>
      <w:r>
        <w:t>”</w:t>
      </w:r>
      <w:r w:rsidRPr="00845A52">
        <w:t xml:space="preserve"> and not </w:t>
      </w:r>
      <w:r>
        <w:t>“</w:t>
      </w:r>
      <w:r w:rsidRPr="00845A52">
        <w:t>reconstructed … in substantial kind</w:t>
      </w:r>
      <w:r>
        <w:t>,” summary judgment is improper. But Petitioner has failed to submit evidence sufficient even to make a colorable argument that the Premises was “</w:t>
      </w:r>
      <w:r w:rsidRPr="00845A52">
        <w:t>destroyed or dismantled</w:t>
      </w:r>
      <w:r>
        <w:t>”</w:t>
      </w:r>
      <w:r w:rsidRPr="00845A52">
        <w:t xml:space="preserve"> within the meaning of O.C.G.A. § 46-3-8(b)</w:t>
      </w:r>
      <w:r>
        <w:t>. That lack of evidence is fatal to the Petition</w:t>
      </w:r>
      <w:r w:rsidR="0085217E">
        <w:t xml:space="preserve">. Even viewing the record in the light most favorable to </w:t>
      </w:r>
      <w:r>
        <w:t>Petitioner</w:t>
      </w:r>
      <w:r w:rsidR="0085217E">
        <w:t xml:space="preserve">, giving </w:t>
      </w:r>
      <w:r w:rsidR="00CA50B0">
        <w:t xml:space="preserve">Petitioner </w:t>
      </w:r>
      <w:r w:rsidR="0085217E">
        <w:t xml:space="preserve">all benefit of the doubt, </w:t>
      </w:r>
      <w:r w:rsidR="0085217E" w:rsidRPr="00E17E01">
        <w:t>the Petition cannot survive the lack of evidentiary support for its claims</w:t>
      </w:r>
      <w:r w:rsidR="00CA50B0">
        <w:t xml:space="preserve"> and summary judgment should be granted</w:t>
      </w:r>
      <w:r w:rsidR="0085217E" w:rsidRPr="00E17E01">
        <w:t xml:space="preserve">. </w:t>
      </w:r>
    </w:p>
    <w:p w14:paraId="451DAF0C" w14:textId="717FE979" w:rsidR="00845A52" w:rsidRPr="00845A52" w:rsidRDefault="00845A52" w:rsidP="00F97CB5">
      <w:pPr>
        <w:keepNext/>
        <w:spacing w:line="480" w:lineRule="auto"/>
        <w:jc w:val="center"/>
      </w:pPr>
      <w:r w:rsidRPr="00845A52">
        <w:rPr>
          <w:b/>
          <w:bCs/>
        </w:rPr>
        <w:t>I</w:t>
      </w:r>
      <w:r w:rsidR="0085217E">
        <w:rPr>
          <w:b/>
          <w:bCs/>
        </w:rPr>
        <w:t>I</w:t>
      </w:r>
      <w:r w:rsidRPr="00845A52">
        <w:rPr>
          <w:b/>
          <w:bCs/>
        </w:rPr>
        <w:t>.</w:t>
      </w:r>
      <w:r w:rsidRPr="0093092C">
        <w:rPr>
          <w:b/>
          <w:bCs/>
        </w:rPr>
        <w:tab/>
        <w:t xml:space="preserve">MATERIAL </w:t>
      </w:r>
      <w:r w:rsidRPr="00845A52">
        <w:rPr>
          <w:b/>
          <w:bCs/>
        </w:rPr>
        <w:t>FACTS</w:t>
      </w:r>
    </w:p>
    <w:p w14:paraId="0B1D5C30" w14:textId="4F5CE38D" w:rsidR="005632B6" w:rsidRPr="00CE0B35" w:rsidRDefault="00CA50B0" w:rsidP="00F97CB5">
      <w:pPr>
        <w:keepNext/>
        <w:spacing w:line="480" w:lineRule="auto"/>
        <w:ind w:firstLine="720"/>
        <w:jc w:val="both"/>
      </w:pPr>
      <w:r>
        <w:t xml:space="preserve">The record </w:t>
      </w:r>
      <w:r w:rsidR="0085217E" w:rsidRPr="003A2135">
        <w:t>contains no dispute</w:t>
      </w:r>
      <w:r w:rsidR="00C4555B">
        <w:t>d</w:t>
      </w:r>
      <w:r w:rsidR="0085217E" w:rsidRPr="003A2135">
        <w:t xml:space="preserve"> fact</w:t>
      </w:r>
      <w:r w:rsidR="003A2135" w:rsidRPr="003A2135">
        <w:t xml:space="preserve"> </w:t>
      </w:r>
      <w:r w:rsidR="00C4555B">
        <w:t>relevant</w:t>
      </w:r>
      <w:r w:rsidR="003A2135" w:rsidRPr="003A2135">
        <w:t xml:space="preserve"> to this Motion.</w:t>
      </w:r>
      <w:r w:rsidR="00E17E01" w:rsidRPr="003A2135">
        <w:t xml:space="preserve"> Of</w:t>
      </w:r>
      <w:r w:rsidR="00E17E01" w:rsidRPr="00A624FC">
        <w:t xml:space="preserve"> the nine facts in the Petition to which Georgia Power objected, none </w:t>
      </w:r>
      <w:r w:rsidR="00C4555B">
        <w:t>address</w:t>
      </w:r>
      <w:r w:rsidR="00E17E01" w:rsidRPr="00A624FC">
        <w:t xml:space="preserve"> modifications to the Premises. In fact, the Petition </w:t>
      </w:r>
      <w:r w:rsidR="003A2135">
        <w:t>makes</w:t>
      </w:r>
      <w:r w:rsidR="00E17E01" w:rsidRPr="00A624FC">
        <w:t xml:space="preserve"> no allegation even suggesting destruction or dismantlement of the Premises</w:t>
      </w:r>
      <w:r w:rsidR="003A2135">
        <w:t>, claiming instead</w:t>
      </w:r>
      <w:r w:rsidR="00C4555B">
        <w:t>, without evidence,</w:t>
      </w:r>
      <w:r w:rsidR="003A2135">
        <w:t xml:space="preserve"> that</w:t>
      </w:r>
      <w:r w:rsidR="003A2135" w:rsidRPr="003A2135">
        <w:t xml:space="preserve"> </w:t>
      </w:r>
      <w:r w:rsidR="00AE6791">
        <w:t>“</w:t>
      </w:r>
      <w:r w:rsidR="003A2135" w:rsidRPr="003A2135">
        <w:t>Atkore</w:t>
      </w:r>
      <w:r w:rsidR="00AE6791">
        <w:t>’</w:t>
      </w:r>
      <w:r w:rsidR="003A2135" w:rsidRPr="003A2135">
        <w:t xml:space="preserve">s new use of the Property constitutes a </w:t>
      </w:r>
      <w:r w:rsidR="00AE6791">
        <w:t>‘</w:t>
      </w:r>
      <w:r w:rsidR="003A2135" w:rsidRPr="003A2135">
        <w:t>reconstruction</w:t>
      </w:r>
      <w:r w:rsidR="00AE6791">
        <w:t>’</w:t>
      </w:r>
      <w:r w:rsidR="003A2135" w:rsidRPr="003A2135">
        <w:t xml:space="preserve"> of the premises</w:t>
      </w:r>
      <w:r w:rsidR="003A2135">
        <w:t>.</w:t>
      </w:r>
      <w:r w:rsidR="00AE6791">
        <w:t>”</w:t>
      </w:r>
      <w:r w:rsidR="003A2135">
        <w:t xml:space="preserve"> (Petition at 21</w:t>
      </w:r>
      <w:r>
        <w:t>.</w:t>
      </w:r>
      <w:r w:rsidR="003A2135">
        <w:t>)</w:t>
      </w:r>
      <w:r w:rsidR="00E17E01">
        <w:t xml:space="preserve"> Georgia Power does not dispute the facts discussed in Petitioner</w:t>
      </w:r>
      <w:r w:rsidR="00AE6791">
        <w:t>’</w:t>
      </w:r>
      <w:r w:rsidR="00E17E01">
        <w:t xml:space="preserve">s </w:t>
      </w:r>
      <w:r w:rsidR="00583EBC">
        <w:t>d</w:t>
      </w:r>
      <w:r w:rsidR="00E17E01">
        <w:t xml:space="preserve">irect </w:t>
      </w:r>
      <w:r w:rsidR="00583EBC">
        <w:t>t</w:t>
      </w:r>
      <w:r w:rsidR="00E17E01">
        <w:t>estimony</w:t>
      </w:r>
      <w:r w:rsidR="00C4555B">
        <w:t xml:space="preserve">. </w:t>
      </w:r>
      <w:r w:rsidR="00E17E01">
        <w:t>Georgia Power</w:t>
      </w:r>
      <w:r w:rsidR="00AE6791">
        <w:t>’</w:t>
      </w:r>
      <w:r w:rsidR="00E17E01">
        <w:t>s objections to</w:t>
      </w:r>
      <w:r w:rsidR="0085217E">
        <w:t xml:space="preserve"> Petitioner</w:t>
      </w:r>
      <w:r w:rsidR="00AE6791">
        <w:t>’</w:t>
      </w:r>
      <w:r w:rsidR="0085217E">
        <w:t xml:space="preserve">s </w:t>
      </w:r>
      <w:r w:rsidR="00583EBC">
        <w:t>r</w:t>
      </w:r>
      <w:r w:rsidR="0085217E">
        <w:t xml:space="preserve">ebuttal </w:t>
      </w:r>
      <w:r w:rsidR="00583EBC">
        <w:t>t</w:t>
      </w:r>
      <w:r w:rsidR="0085217E">
        <w:t xml:space="preserve">estimony are limited only to the legal conclusions offered by Witness Boucher, neither of which discuss the destruction or dismantlement of the </w:t>
      </w:r>
      <w:r w:rsidR="0085217E" w:rsidRPr="003A2135">
        <w:t xml:space="preserve">Premises. </w:t>
      </w:r>
      <w:r w:rsidR="003A2135" w:rsidRPr="003A2135">
        <w:t>The d</w:t>
      </w:r>
      <w:r w:rsidR="003A2135" w:rsidRPr="00845A52">
        <w:t xml:space="preserve">isputed facts identified </w:t>
      </w:r>
      <w:r>
        <w:t xml:space="preserve">in </w:t>
      </w:r>
      <w:r w:rsidR="003A2135" w:rsidRPr="003A2135">
        <w:t>Petitioner</w:t>
      </w:r>
      <w:r w:rsidR="00AE6791">
        <w:t>’</w:t>
      </w:r>
      <w:r w:rsidR="003A2135" w:rsidRPr="003A2135">
        <w:t>s</w:t>
      </w:r>
      <w:r w:rsidR="003A2135" w:rsidRPr="00845A52">
        <w:t xml:space="preserve"> </w:t>
      </w:r>
      <w:r w:rsidR="003A2135" w:rsidRPr="003A2135">
        <w:t>Brief</w:t>
      </w:r>
      <w:r w:rsidR="003A2135" w:rsidRPr="00845A52">
        <w:t xml:space="preserve"> </w:t>
      </w:r>
      <w:r w:rsidR="00451FDB" w:rsidRPr="00845A52">
        <w:t>in Opposition</w:t>
      </w:r>
      <w:r w:rsidR="00451FDB">
        <w:t xml:space="preserve"> to Respondent</w:t>
      </w:r>
      <w:r w:rsidR="00AE6791">
        <w:t>’</w:t>
      </w:r>
      <w:r w:rsidR="00451FDB">
        <w:t xml:space="preserve">s Motion for Summary Judgment </w:t>
      </w:r>
      <w:r w:rsidR="003A2135" w:rsidRPr="00845A52">
        <w:t xml:space="preserve">are </w:t>
      </w:r>
      <w:r w:rsidR="003A2135">
        <w:t>similarly</w:t>
      </w:r>
      <w:r w:rsidR="003A2135" w:rsidRPr="003A2135">
        <w:t xml:space="preserve"> </w:t>
      </w:r>
      <w:r w:rsidR="003A2135" w:rsidRPr="00845A52">
        <w:t xml:space="preserve">immaterial because </w:t>
      </w:r>
      <w:r w:rsidR="00CE0B35">
        <w:t xml:space="preserve">none discuss the </w:t>
      </w:r>
      <w:r w:rsidR="00CE0B35">
        <w:lastRenderedPageBreak/>
        <w:t xml:space="preserve">destruction or dismantlement of the Premises. </w:t>
      </w:r>
      <w:r w:rsidR="0085217E" w:rsidRPr="003A2135">
        <w:t>For the purposes</w:t>
      </w:r>
      <w:r w:rsidR="0085217E" w:rsidRPr="0093092C">
        <w:t xml:space="preserve"> of this Motion, </w:t>
      </w:r>
      <w:r w:rsidR="0085217E" w:rsidRPr="00845A52">
        <w:t xml:space="preserve">Georgia Power </w:t>
      </w:r>
      <w:r w:rsidR="00451FDB">
        <w:t>admits</w:t>
      </w:r>
      <w:r w:rsidR="0085217E" w:rsidRPr="00845A52">
        <w:t xml:space="preserve"> the </w:t>
      </w:r>
      <w:r w:rsidR="00E7695A">
        <w:t xml:space="preserve">seventeen </w:t>
      </w:r>
      <w:r w:rsidR="0085217E" w:rsidRPr="00845A52">
        <w:t>newly alleged</w:t>
      </w:r>
      <w:r w:rsidR="00451FDB">
        <w:t xml:space="preserve"> facts</w:t>
      </w:r>
      <w:r w:rsidR="0085217E" w:rsidRPr="00845A52">
        <w:t xml:space="preserve"> in </w:t>
      </w:r>
      <w:r w:rsidR="00451FDB">
        <w:t>Petitioner</w:t>
      </w:r>
      <w:r w:rsidR="00AE6791">
        <w:t>’</w:t>
      </w:r>
      <w:r w:rsidR="00451FDB">
        <w:t xml:space="preserve">s </w:t>
      </w:r>
      <w:r w:rsidR="0085217E" w:rsidRPr="00845A52">
        <w:t xml:space="preserve">Brief. </w:t>
      </w:r>
    </w:p>
    <w:p w14:paraId="6122A5F9" w14:textId="0183C3DC" w:rsidR="00845A52" w:rsidRDefault="00845A52" w:rsidP="00F97CB5">
      <w:pPr>
        <w:spacing w:before="120" w:after="120" w:line="480" w:lineRule="auto"/>
        <w:jc w:val="center"/>
        <w:rPr>
          <w:b/>
          <w:bCs/>
        </w:rPr>
      </w:pPr>
      <w:r w:rsidRPr="00845A52">
        <w:rPr>
          <w:b/>
          <w:bCs/>
        </w:rPr>
        <w:t>III.</w:t>
      </w:r>
      <w:r w:rsidR="00405F21">
        <w:rPr>
          <w:b/>
          <w:bCs/>
        </w:rPr>
        <w:tab/>
      </w:r>
      <w:r w:rsidRPr="00845A52">
        <w:rPr>
          <w:b/>
          <w:bCs/>
        </w:rPr>
        <w:t>ARGUMENT</w:t>
      </w:r>
    </w:p>
    <w:p w14:paraId="515829E7" w14:textId="20CE95B8" w:rsidR="00583EBC" w:rsidRDefault="00583EBC" w:rsidP="00583EBC">
      <w:pPr>
        <w:spacing w:line="480" w:lineRule="auto"/>
        <w:ind w:firstLine="720"/>
        <w:jc w:val="both"/>
      </w:pPr>
      <w:r>
        <w:t xml:space="preserve">The recent decision in </w:t>
      </w:r>
      <w:r w:rsidRPr="00590FA4">
        <w:rPr>
          <w:i/>
          <w:iCs/>
        </w:rPr>
        <w:t>Walton EMC v. Georgia Power Co.</w:t>
      </w:r>
      <w:r>
        <w:t xml:space="preserve"> has clearly emboldened Petitioner, </w:t>
      </w:r>
      <w:r w:rsidR="00CA50B0">
        <w:t xml:space="preserve">who appears to believe that </w:t>
      </w:r>
      <w:r w:rsidR="00CA50B0" w:rsidRPr="00B94934">
        <w:rPr>
          <w:i/>
          <w:iCs/>
        </w:rPr>
        <w:t>any</w:t>
      </w:r>
      <w:r w:rsidR="00CA50B0">
        <w:t xml:space="preserve"> change to a premises can be declared “destruction” or “dismantlement.” </w:t>
      </w:r>
      <w:r w:rsidR="00F820AE">
        <w:t>However, t</w:t>
      </w:r>
      <w:r w:rsidR="00CA50B0">
        <w:t xml:space="preserve">hat reading of </w:t>
      </w:r>
      <w:r w:rsidR="00CA50B0" w:rsidRPr="00B94934">
        <w:rPr>
          <w:i/>
          <w:iCs/>
        </w:rPr>
        <w:t>Walton</w:t>
      </w:r>
      <w:r w:rsidR="00CA50B0">
        <w:t xml:space="preserve"> is </w:t>
      </w:r>
      <w:r>
        <w:t xml:space="preserve">a fundamental misunderstanding </w:t>
      </w:r>
      <w:r w:rsidR="00313AAF">
        <w:t>of the Supreme Court</w:t>
      </w:r>
      <w:r w:rsidR="00964CF3">
        <w:t xml:space="preserve"> of Georgia</w:t>
      </w:r>
      <w:r w:rsidR="00313AAF">
        <w:t xml:space="preserve">’s decision </w:t>
      </w:r>
      <w:r>
        <w:t xml:space="preserve">and </w:t>
      </w:r>
      <w:r w:rsidR="00313AAF">
        <w:t xml:space="preserve">a </w:t>
      </w:r>
      <w:r>
        <w:t xml:space="preserve">misapplication of the Georgia Territorial Electric Service Act, O.C.G.A. §§ 46-3-1 through 46-3-15 (the </w:t>
      </w:r>
      <w:r w:rsidR="00AE6791">
        <w:t>“</w:t>
      </w:r>
      <w:r>
        <w:t>Territorial Act</w:t>
      </w:r>
      <w:r w:rsidR="00AE6791">
        <w:t>”</w:t>
      </w:r>
      <w:r>
        <w:t>).</w:t>
      </w:r>
    </w:p>
    <w:p w14:paraId="47D6F0B2" w14:textId="670A7FD9" w:rsidR="00FF0C7D" w:rsidRPr="00590FA4" w:rsidRDefault="00845A52" w:rsidP="00F97CB5">
      <w:pPr>
        <w:spacing w:before="120" w:after="120" w:line="480" w:lineRule="auto"/>
        <w:ind w:left="720" w:hanging="720"/>
        <w:rPr>
          <w:b/>
          <w:bCs/>
        </w:rPr>
      </w:pPr>
      <w:r w:rsidRPr="00590FA4">
        <w:rPr>
          <w:b/>
          <w:bCs/>
        </w:rPr>
        <w:t xml:space="preserve">A. </w:t>
      </w:r>
      <w:r w:rsidR="00FF0C7D" w:rsidRPr="00590FA4">
        <w:rPr>
          <w:b/>
          <w:bCs/>
        </w:rPr>
        <w:tab/>
      </w:r>
      <w:r w:rsidR="00590FA4" w:rsidRPr="00590FA4">
        <w:rPr>
          <w:b/>
          <w:bCs/>
        </w:rPr>
        <w:t xml:space="preserve">The Record Contains </w:t>
      </w:r>
      <w:r w:rsidR="00FF0C7D" w:rsidRPr="00590FA4">
        <w:rPr>
          <w:b/>
          <w:bCs/>
        </w:rPr>
        <w:t>No Evidence</w:t>
      </w:r>
      <w:r w:rsidR="00590FA4" w:rsidRPr="00590FA4">
        <w:rPr>
          <w:b/>
          <w:bCs/>
        </w:rPr>
        <w:t xml:space="preserve"> of</w:t>
      </w:r>
      <w:r w:rsidR="00FF0C7D" w:rsidRPr="00590FA4">
        <w:rPr>
          <w:b/>
          <w:bCs/>
        </w:rPr>
        <w:t xml:space="preserve"> Destruction or Dismantlement of the Premises.</w:t>
      </w:r>
    </w:p>
    <w:p w14:paraId="44B4EA08" w14:textId="6F6AD3A8" w:rsidR="00121F9F" w:rsidRDefault="00845A52" w:rsidP="00CE0B35">
      <w:pPr>
        <w:spacing w:line="480" w:lineRule="auto"/>
        <w:ind w:firstLine="720"/>
        <w:jc w:val="both"/>
      </w:pPr>
      <w:r w:rsidRPr="00845A52">
        <w:t>Petitioner</w:t>
      </w:r>
      <w:r w:rsidR="00AE6791">
        <w:t>’</w:t>
      </w:r>
      <w:r w:rsidRPr="00845A52">
        <w:t>s case collapses under the weight of its own evidentiary void.</w:t>
      </w:r>
      <w:r w:rsidR="00561462">
        <w:t xml:space="preserve"> </w:t>
      </w:r>
      <w:r w:rsidR="0017425D">
        <w:t>While d</w:t>
      </w:r>
      <w:r w:rsidR="00313AAF">
        <w:t xml:space="preserve">eterminations of whether a premises is “destroyed or dismantled” under the </w:t>
      </w:r>
      <w:r w:rsidRPr="00845A52">
        <w:t xml:space="preserve">Territorial Act </w:t>
      </w:r>
      <w:r w:rsidR="00313AAF">
        <w:t xml:space="preserve">are </w:t>
      </w:r>
      <w:r w:rsidR="0017425D">
        <w:t xml:space="preserve">indeed </w:t>
      </w:r>
      <w:r w:rsidRPr="00845A52">
        <w:t xml:space="preserve">evidence-driven, </w:t>
      </w:r>
      <w:r w:rsidR="00121F9F" w:rsidRPr="00121F9F">
        <w:t xml:space="preserve">the </w:t>
      </w:r>
      <w:r w:rsidR="00121F9F">
        <w:t>record</w:t>
      </w:r>
      <w:r w:rsidR="00121F9F" w:rsidRPr="00121F9F">
        <w:t xml:space="preserve"> </w:t>
      </w:r>
      <w:r w:rsidR="0017425D">
        <w:t xml:space="preserve">in this case </w:t>
      </w:r>
      <w:r w:rsidR="00121F9F" w:rsidRPr="00121F9F">
        <w:t>contains no such evidence.</w:t>
      </w:r>
      <w:r w:rsidR="008E64AB">
        <w:t xml:space="preserve"> </w:t>
      </w:r>
      <w:r w:rsidR="0017425D">
        <w:t>Accordingly</w:t>
      </w:r>
      <w:r w:rsidR="008E64AB">
        <w:t>, the Petition must fail.</w:t>
      </w:r>
    </w:p>
    <w:p w14:paraId="6FECFFA7" w14:textId="1A3E177D" w:rsidR="00B80313" w:rsidRPr="0047541F" w:rsidRDefault="00954FE5" w:rsidP="00CE0B35">
      <w:pPr>
        <w:spacing w:line="480" w:lineRule="auto"/>
        <w:ind w:firstLine="720"/>
        <w:jc w:val="both"/>
      </w:pPr>
      <w:r w:rsidRPr="00845A52">
        <w:rPr>
          <w:i/>
          <w:iCs/>
        </w:rPr>
        <w:t xml:space="preserve">Walton </w:t>
      </w:r>
      <w:r w:rsidR="002A10AF">
        <w:t>highlights</w:t>
      </w:r>
      <w:r w:rsidRPr="00845A52">
        <w:t xml:space="preserve"> the</w:t>
      </w:r>
      <w:r w:rsidR="002A10AF">
        <w:t xml:space="preserve"> </w:t>
      </w:r>
      <w:r w:rsidR="00590FA4">
        <w:t>insurmountable</w:t>
      </w:r>
      <w:r w:rsidRPr="00845A52">
        <w:t xml:space="preserve"> gap in Petitioner</w:t>
      </w:r>
      <w:r w:rsidR="00AE6791">
        <w:t>’</w:t>
      </w:r>
      <w:r w:rsidRPr="00845A52">
        <w:t>s evidence.</w:t>
      </w:r>
      <w:r w:rsidR="002A10AF" w:rsidRPr="00AD0E5A">
        <w:t xml:space="preserve"> </w:t>
      </w:r>
      <w:r w:rsidR="00AD0E5A" w:rsidRPr="00AD0E5A">
        <w:t>B</w:t>
      </w:r>
      <w:r w:rsidR="002A10AF" w:rsidRPr="00AD0E5A">
        <w:t xml:space="preserve">efore defining </w:t>
      </w:r>
      <w:r w:rsidR="00AE6791">
        <w:t>‘</w:t>
      </w:r>
      <w:r w:rsidR="002A10AF" w:rsidRPr="00AD0E5A">
        <w:t>destroyed</w:t>
      </w:r>
      <w:r w:rsidR="00AE6791">
        <w:t>’</w:t>
      </w:r>
      <w:r w:rsidR="002A10AF" w:rsidRPr="00AD0E5A">
        <w:t xml:space="preserve"> as </w:t>
      </w:r>
      <w:r w:rsidR="00AE6791">
        <w:t>“</w:t>
      </w:r>
      <w:r w:rsidR="002A10AF" w:rsidRPr="00AD0E5A">
        <w:t>the complete ruination or tearing</w:t>
      </w:r>
      <w:r w:rsidR="002A10AF">
        <w:t xml:space="preserve"> down or breaking down of the premises</w:t>
      </w:r>
      <w:r w:rsidR="00AE6791">
        <w:t>”</w:t>
      </w:r>
      <w:r w:rsidR="002A10AF">
        <w:t xml:space="preserve"> and </w:t>
      </w:r>
      <w:r w:rsidR="00AE6791">
        <w:t>‘</w:t>
      </w:r>
      <w:r w:rsidR="002A10AF">
        <w:t>dismantled</w:t>
      </w:r>
      <w:r w:rsidR="00AE6791">
        <w:t>’</w:t>
      </w:r>
      <w:r w:rsidR="002A10AF">
        <w:t xml:space="preserve"> as </w:t>
      </w:r>
      <w:r w:rsidR="00AE6791">
        <w:t>“</w:t>
      </w:r>
      <w:r w:rsidR="002A10AF">
        <w:t>something less, which may, for example, be accomplished by substantially taking apart or substantially stripping away a building</w:t>
      </w:r>
      <w:r w:rsidR="00AE6791">
        <w:t>’</w:t>
      </w:r>
      <w:r w:rsidR="002A10AF">
        <w:t>s structural components, furniture, equipment, or other significant contents, without the added requirement of entire destruction,</w:t>
      </w:r>
      <w:r w:rsidR="00AE6791">
        <w:t>”</w:t>
      </w:r>
      <w:r w:rsidR="002A10AF">
        <w:t xml:space="preserve"> </w:t>
      </w:r>
      <w:r w:rsidR="00AD0E5A" w:rsidRPr="0047541F">
        <w:t>t</w:t>
      </w:r>
      <w:r w:rsidR="002A10AF" w:rsidRPr="0047541F">
        <w:t>he</w:t>
      </w:r>
      <w:r w:rsidRPr="00845A52">
        <w:t xml:space="preserve"> </w:t>
      </w:r>
      <w:r w:rsidRPr="00845A52">
        <w:rPr>
          <w:i/>
          <w:iCs/>
        </w:rPr>
        <w:t>Walton</w:t>
      </w:r>
      <w:r w:rsidR="00561462" w:rsidRPr="0047541F">
        <w:t xml:space="preserve"> </w:t>
      </w:r>
      <w:r w:rsidR="0017425D">
        <w:t xml:space="preserve">decision </w:t>
      </w:r>
      <w:r w:rsidR="00B3262D">
        <w:t>notes</w:t>
      </w:r>
      <w:r w:rsidR="00AD0E5A" w:rsidRPr="0047541F">
        <w:t xml:space="preserve"> the </w:t>
      </w:r>
      <w:r w:rsidR="009F5A77" w:rsidRPr="0047541F">
        <w:t>Hearing Officer</w:t>
      </w:r>
      <w:r w:rsidR="00AE6791">
        <w:t>’</w:t>
      </w:r>
      <w:r w:rsidR="009F5A77" w:rsidRPr="0047541F">
        <w:t>s</w:t>
      </w:r>
      <w:r w:rsidR="00AD0E5A" w:rsidRPr="0047541F">
        <w:t xml:space="preserve"> description of the </w:t>
      </w:r>
      <w:r w:rsidR="0017425D">
        <w:t xml:space="preserve">significant </w:t>
      </w:r>
      <w:r w:rsidR="00AD0E5A" w:rsidRPr="0047541F">
        <w:t xml:space="preserve">changes Nestle made to the </w:t>
      </w:r>
      <w:r w:rsidR="00AD0E5A" w:rsidRPr="0047541F">
        <w:lastRenderedPageBreak/>
        <w:t>premises.</w:t>
      </w:r>
      <w:r w:rsidR="002A10AF" w:rsidRPr="0047541F">
        <w:rPr>
          <w:rStyle w:val="FootnoteReference"/>
        </w:rPr>
        <w:footnoteReference w:id="1"/>
      </w:r>
      <w:r w:rsidR="008E658D" w:rsidRPr="0047541F">
        <w:t xml:space="preserve"> </w:t>
      </w:r>
      <w:r w:rsidR="00106136">
        <w:t xml:space="preserve">It was because of </w:t>
      </w:r>
      <w:r w:rsidR="00AE6791">
        <w:t>“</w:t>
      </w:r>
      <w:r w:rsidR="00106136">
        <w:t xml:space="preserve">the factual findings about the </w:t>
      </w:r>
      <w:r w:rsidR="00106136" w:rsidRPr="00F97CB5">
        <w:rPr>
          <w:i/>
          <w:iCs/>
        </w:rPr>
        <w:t>substantial</w:t>
      </w:r>
      <w:r w:rsidR="00106136">
        <w:t xml:space="preserve"> modifications to the premises</w:t>
      </w:r>
      <w:r w:rsidR="00AE6791">
        <w:t>”</w:t>
      </w:r>
      <w:r w:rsidR="00106136">
        <w:t xml:space="preserve"> that the </w:t>
      </w:r>
      <w:r w:rsidR="001B0EFF">
        <w:t xml:space="preserve">Supreme </w:t>
      </w:r>
      <w:r w:rsidR="00106136">
        <w:t>Court</w:t>
      </w:r>
      <w:r w:rsidR="0010004F">
        <w:t xml:space="preserve"> of Georgia</w:t>
      </w:r>
      <w:r w:rsidR="00106136">
        <w:t xml:space="preserve"> had </w:t>
      </w:r>
      <w:r w:rsidR="00AE6791">
        <w:t>“</w:t>
      </w:r>
      <w:r w:rsidR="00106136" w:rsidRPr="00106136">
        <w:t>no difficulty determining that the Commission did not abuse its discretion in concluding that Nestle</w:t>
      </w:r>
      <w:r w:rsidR="00AE6791">
        <w:t>’</w:t>
      </w:r>
      <w:r w:rsidR="00106136" w:rsidRPr="00106136">
        <w:t xml:space="preserve">s premises were </w:t>
      </w:r>
      <w:r w:rsidR="0010004F">
        <w:t>‘</w:t>
      </w:r>
      <w:r w:rsidR="00106136" w:rsidRPr="00106136">
        <w:t>destroyed or dismantled</w:t>
      </w:r>
      <w:r w:rsidR="00106136">
        <w:t>.</w:t>
      </w:r>
      <w:r w:rsidR="0010004F">
        <w:t>’</w:t>
      </w:r>
      <w:r w:rsidR="00AE6791">
        <w:t>”</w:t>
      </w:r>
      <w:r w:rsidR="0010004F">
        <w:rPr>
          <w:rStyle w:val="FootnoteReference"/>
        </w:rPr>
        <w:footnoteReference w:id="2"/>
      </w:r>
    </w:p>
    <w:p w14:paraId="6ABE128E" w14:textId="11CABC9F" w:rsidR="00AB4BC5" w:rsidRPr="00BF60E7" w:rsidRDefault="00954FE5" w:rsidP="00CE0B35">
      <w:pPr>
        <w:spacing w:line="480" w:lineRule="auto"/>
        <w:ind w:firstLine="720"/>
        <w:jc w:val="both"/>
        <w:rPr>
          <w:highlight w:val="yellow"/>
        </w:rPr>
      </w:pPr>
      <w:r w:rsidRPr="00845A52">
        <w:t xml:space="preserve">By contrast, </w:t>
      </w:r>
      <w:r w:rsidR="008E658D" w:rsidRPr="0047541F">
        <w:t>t</w:t>
      </w:r>
      <w:r w:rsidR="008E658D" w:rsidRPr="00845A52">
        <w:t>he</w:t>
      </w:r>
      <w:r w:rsidR="008E658D">
        <w:t xml:space="preserve"> undisputed</w:t>
      </w:r>
      <w:r w:rsidR="008E658D" w:rsidRPr="00845A52">
        <w:t xml:space="preserve"> record</w:t>
      </w:r>
      <w:r w:rsidR="008E658D">
        <w:t xml:space="preserve"> in this matter</w:t>
      </w:r>
      <w:r w:rsidR="008E658D" w:rsidRPr="00845A52">
        <w:t xml:space="preserve"> is silent on any</w:t>
      </w:r>
      <w:r w:rsidR="009C7810">
        <w:t xml:space="preserve"> substantial modifications to the Premises that would</w:t>
      </w:r>
      <w:r w:rsidR="008E658D" w:rsidRPr="00845A52">
        <w:t xml:space="preserve"> qualify</w:t>
      </w:r>
      <w:r w:rsidR="009C7810">
        <w:t xml:space="preserve"> as</w:t>
      </w:r>
      <w:r w:rsidR="008E658D" w:rsidRPr="00845A52">
        <w:t xml:space="preserve"> </w:t>
      </w:r>
      <w:r w:rsidR="0047541F">
        <w:t>dismantlement</w:t>
      </w:r>
      <w:r w:rsidR="008E658D" w:rsidRPr="00845A52">
        <w:t xml:space="preserve">. </w:t>
      </w:r>
      <w:r w:rsidR="008E658D" w:rsidRPr="00AB4BC5">
        <w:t>Petitioner</w:t>
      </w:r>
      <w:r w:rsidRPr="00845A52">
        <w:t xml:space="preserve"> shows </w:t>
      </w:r>
      <w:r w:rsidR="0047541F" w:rsidRPr="00AB4BC5">
        <w:t>no stripping away of the structural components, furniture, equipment, or other significant contents</w:t>
      </w:r>
      <w:r w:rsidR="001B0EFF">
        <w:t>;</w:t>
      </w:r>
      <w:r w:rsidR="001B0EFF" w:rsidRPr="00AB4BC5">
        <w:t xml:space="preserve"> </w:t>
      </w:r>
      <w:r w:rsidRPr="00845A52">
        <w:t>no removal of foundations</w:t>
      </w:r>
      <w:r w:rsidR="001B0EFF">
        <w:t>;</w:t>
      </w:r>
      <w:r w:rsidR="001B0EFF" w:rsidRPr="00845A52">
        <w:t xml:space="preserve"> </w:t>
      </w:r>
      <w:r w:rsidRPr="00845A52">
        <w:t>no demolition of load-bearing walls</w:t>
      </w:r>
      <w:r w:rsidR="001B0EFF">
        <w:t>;</w:t>
      </w:r>
      <w:r w:rsidR="001B0EFF" w:rsidRPr="00845A52">
        <w:t xml:space="preserve"> </w:t>
      </w:r>
      <w:r w:rsidRPr="00845A52">
        <w:t>no gutting of core systems.</w:t>
      </w:r>
      <w:r w:rsidR="00AB4BC5" w:rsidRPr="00AB4BC5">
        <w:t xml:space="preserve"> </w:t>
      </w:r>
      <w:r w:rsidR="00B743DD" w:rsidRPr="00845A52">
        <w:t>Petitioner</w:t>
      </w:r>
      <w:r w:rsidR="00AE6791">
        <w:t>’</w:t>
      </w:r>
      <w:r w:rsidR="00B743DD" w:rsidRPr="00845A52">
        <w:t xml:space="preserve">s own language confirms </w:t>
      </w:r>
      <w:r w:rsidR="00363C19">
        <w:t xml:space="preserve">only </w:t>
      </w:r>
      <w:r w:rsidR="00363C19" w:rsidRPr="00F97CB5">
        <w:rPr>
          <w:i/>
          <w:iCs/>
        </w:rPr>
        <w:t>additive</w:t>
      </w:r>
      <w:r w:rsidR="00363C19">
        <w:t xml:space="preserve"> changes to the Premises</w:t>
      </w:r>
      <w:r w:rsidR="001B0EFF">
        <w:t xml:space="preserve">, describing </w:t>
      </w:r>
      <w:r w:rsidR="00363C19">
        <w:t>the</w:t>
      </w:r>
      <w:r w:rsidR="00B743DD" w:rsidRPr="00845A52">
        <w:t xml:space="preserve"> efforts </w:t>
      </w:r>
      <w:r w:rsidR="001B0EFF">
        <w:t xml:space="preserve">with </w:t>
      </w:r>
      <w:r w:rsidR="00B743DD" w:rsidRPr="00845A52">
        <w:t xml:space="preserve">verbs like </w:t>
      </w:r>
      <w:r w:rsidR="00AE6791">
        <w:t>“</w:t>
      </w:r>
      <w:r w:rsidR="00B743DD" w:rsidRPr="00845A52">
        <w:t>acquire,</w:t>
      </w:r>
      <w:r w:rsidR="00AE6791">
        <w:t>”</w:t>
      </w:r>
      <w:r w:rsidR="00B743DD" w:rsidRPr="00845A52">
        <w:t xml:space="preserve"> </w:t>
      </w:r>
      <w:r w:rsidR="00AE6791">
        <w:t>“</w:t>
      </w:r>
      <w:r w:rsidR="00B743DD" w:rsidRPr="00845A52">
        <w:t>build,</w:t>
      </w:r>
      <w:r w:rsidR="00AE6791">
        <w:t>”</w:t>
      </w:r>
      <w:r w:rsidR="00B743DD" w:rsidRPr="00845A52">
        <w:t xml:space="preserve"> </w:t>
      </w:r>
      <w:r w:rsidR="00AE6791">
        <w:t>“</w:t>
      </w:r>
      <w:r w:rsidR="00B743DD" w:rsidRPr="00845A52">
        <w:t>install,</w:t>
      </w:r>
      <w:r w:rsidR="00AE6791">
        <w:t>”</w:t>
      </w:r>
      <w:r w:rsidR="00B743DD" w:rsidRPr="00845A52">
        <w:t xml:space="preserve"> </w:t>
      </w:r>
      <w:r w:rsidR="00AE6791">
        <w:t>“</w:t>
      </w:r>
      <w:r w:rsidR="00B743DD" w:rsidRPr="00845A52">
        <w:t>upgrade,</w:t>
      </w:r>
      <w:r w:rsidR="00AE6791">
        <w:t>”</w:t>
      </w:r>
      <w:r w:rsidR="00B743DD" w:rsidRPr="00845A52">
        <w:t xml:space="preserve"> </w:t>
      </w:r>
      <w:r w:rsidR="00AE6791">
        <w:t>“</w:t>
      </w:r>
      <w:r w:rsidR="00B743DD" w:rsidRPr="00845A52">
        <w:t>coordinate,</w:t>
      </w:r>
      <w:r w:rsidR="00AE6791">
        <w:t>”</w:t>
      </w:r>
      <w:r w:rsidR="00B743DD" w:rsidRPr="00845A52">
        <w:t xml:space="preserve"> and </w:t>
      </w:r>
      <w:r w:rsidR="00AE6791">
        <w:t>“</w:t>
      </w:r>
      <w:r w:rsidR="00B743DD" w:rsidRPr="00845A52">
        <w:t>design</w:t>
      </w:r>
      <w:r w:rsidR="00AE6791">
        <w:t>”</w:t>
      </w:r>
      <w:r w:rsidR="001B0EFF">
        <w:t xml:space="preserve"> –</w:t>
      </w:r>
      <w:r w:rsidR="00B743DD" w:rsidRPr="00845A52">
        <w:t xml:space="preserve"> </w:t>
      </w:r>
      <w:r w:rsidR="009C7810">
        <w:t>descriptions</w:t>
      </w:r>
      <w:r w:rsidR="009C7810" w:rsidRPr="00DC0E79">
        <w:t xml:space="preserve"> </w:t>
      </w:r>
      <w:r w:rsidR="001B0EFF">
        <w:t xml:space="preserve">that </w:t>
      </w:r>
      <w:r w:rsidR="00B743DD" w:rsidRPr="00845A52">
        <w:t xml:space="preserve">denote enhancement, not dismantlement. </w:t>
      </w:r>
      <w:r w:rsidR="00B743DD" w:rsidRPr="00DC0E79">
        <w:t>(</w:t>
      </w:r>
      <w:r w:rsidR="00811454">
        <w:t xml:space="preserve">Petitioner’s </w:t>
      </w:r>
      <w:r w:rsidR="00BF60E7" w:rsidRPr="001A16F4">
        <w:t>Brief</w:t>
      </w:r>
      <w:r w:rsidR="00B743DD" w:rsidRPr="00DC0E79">
        <w:t xml:space="preserve"> at 17-18</w:t>
      </w:r>
      <w:r w:rsidR="001B0EFF">
        <w:t>.</w:t>
      </w:r>
      <w:r w:rsidR="00B743DD" w:rsidRPr="00DC0E79">
        <w:t xml:space="preserve">) </w:t>
      </w:r>
      <w:r w:rsidR="00AB4BC5" w:rsidRPr="00845A52">
        <w:t xml:space="preserve">Georgia Power </w:t>
      </w:r>
      <w:r w:rsidR="001B0EFF">
        <w:t xml:space="preserve">does not disagree </w:t>
      </w:r>
      <w:r w:rsidR="00AB4BC5" w:rsidRPr="00845A52">
        <w:t>that dismantlement may occur short of complete destruction</w:t>
      </w:r>
      <w:r w:rsidR="001B0EFF">
        <w:t>.</w:t>
      </w:r>
      <w:r w:rsidR="001B0EFF" w:rsidRPr="00845A52">
        <w:t xml:space="preserve"> </w:t>
      </w:r>
      <w:r w:rsidR="001B0EFF">
        <w:t>B</w:t>
      </w:r>
      <w:r w:rsidR="001B0EFF" w:rsidRPr="00845A52">
        <w:t xml:space="preserve">ut </w:t>
      </w:r>
      <w:r w:rsidR="00AB4BC5" w:rsidRPr="00845A52">
        <w:t xml:space="preserve">the law demands proof that the facility was stripped of structural components or rendered unusable in its former state. Petitioner offers </w:t>
      </w:r>
      <w:r w:rsidR="009C7810">
        <w:t>no such proof</w:t>
      </w:r>
      <w:r w:rsidR="00AB4BC5" w:rsidRPr="00845A52">
        <w:t xml:space="preserve">. </w:t>
      </w:r>
    </w:p>
    <w:p w14:paraId="1E7756EF" w14:textId="2518BDBF" w:rsidR="00BF60E7" w:rsidRDefault="00AB4BC5" w:rsidP="00CE0B35">
      <w:pPr>
        <w:spacing w:line="480" w:lineRule="auto"/>
        <w:ind w:firstLine="720"/>
        <w:jc w:val="both"/>
        <w:rPr>
          <w:highlight w:val="yellow"/>
        </w:rPr>
      </w:pPr>
      <w:r w:rsidRPr="001A16F4">
        <w:t xml:space="preserve">Instead, </w:t>
      </w:r>
      <w:r w:rsidR="001A16F4" w:rsidRPr="00845A52">
        <w:t>Petitioner devotes much of its</w:t>
      </w:r>
      <w:r w:rsidR="003047C4">
        <w:t xml:space="preserve"> testimony and</w:t>
      </w:r>
      <w:r w:rsidR="001A16F4" w:rsidRPr="00845A52">
        <w:t xml:space="preserve"> </w:t>
      </w:r>
      <w:r w:rsidR="001B0EFF">
        <w:t>b</w:t>
      </w:r>
      <w:r w:rsidR="001B0EFF" w:rsidRPr="00845A52">
        <w:t xml:space="preserve">rief </w:t>
      </w:r>
      <w:r w:rsidR="001A16F4" w:rsidRPr="00845A52">
        <w:t xml:space="preserve">to describing </w:t>
      </w:r>
      <w:r w:rsidR="001A16F4" w:rsidRPr="001A16F4">
        <w:t xml:space="preserve">the </w:t>
      </w:r>
      <w:r w:rsidR="00BF60E7" w:rsidRPr="00DF64E0">
        <w:t xml:space="preserve">substantial work </w:t>
      </w:r>
      <w:r w:rsidR="00BF60E7">
        <w:rPr>
          <w:i/>
          <w:iCs/>
        </w:rPr>
        <w:t>Petitioner</w:t>
      </w:r>
      <w:r w:rsidR="00BF60E7" w:rsidRPr="00DF64E0">
        <w:t xml:space="preserve"> </w:t>
      </w:r>
      <w:r w:rsidR="00BF60E7" w:rsidRPr="00845A52">
        <w:t xml:space="preserve">undertook </w:t>
      </w:r>
      <w:r w:rsidR="00811454">
        <w:t xml:space="preserve">to provide electric service to the Premises </w:t>
      </w:r>
      <w:r w:rsidR="00BF60E7" w:rsidRPr="00DF64E0">
        <w:t>prior to</w:t>
      </w:r>
      <w:r w:rsidR="00BF60E7" w:rsidRPr="00845A52">
        <w:t xml:space="preserve"> establishing any legal right to </w:t>
      </w:r>
      <w:r w:rsidR="00811454">
        <w:t>do so</w:t>
      </w:r>
      <w:r w:rsidR="00BF60E7" w:rsidRPr="00845A52">
        <w:t>, then point</w:t>
      </w:r>
      <w:r w:rsidR="00BF60E7" w:rsidRPr="00DF64E0">
        <w:t>s</w:t>
      </w:r>
      <w:r w:rsidR="00BF60E7" w:rsidRPr="00845A52">
        <w:t xml:space="preserve"> to its </w:t>
      </w:r>
      <w:r w:rsidR="009C7810">
        <w:t xml:space="preserve">unauthorized </w:t>
      </w:r>
      <w:r w:rsidR="00DC4ADA">
        <w:t xml:space="preserve">infrastructure </w:t>
      </w:r>
      <w:r w:rsidR="009C7810">
        <w:t>investmen</w:t>
      </w:r>
      <w:r w:rsidR="00DC4ADA">
        <w:t xml:space="preserve">t </w:t>
      </w:r>
      <w:r w:rsidR="00BF60E7" w:rsidRPr="00845A52">
        <w:t>as proof of entitlement</w:t>
      </w:r>
      <w:r w:rsidR="009C7810">
        <w:t xml:space="preserve"> to </w:t>
      </w:r>
      <w:r w:rsidR="009C7810">
        <w:lastRenderedPageBreak/>
        <w:t>relief</w:t>
      </w:r>
      <w:r w:rsidR="00BF60E7" w:rsidRPr="00845A52">
        <w:t>.</w:t>
      </w:r>
      <w:r w:rsidR="00962636">
        <w:t xml:space="preserve"> </w:t>
      </w:r>
      <w:r w:rsidR="002F1562">
        <w:t>(</w:t>
      </w:r>
      <w:r w:rsidR="003047C4" w:rsidRPr="003047C4">
        <w:rPr>
          <w:i/>
          <w:iCs/>
        </w:rPr>
        <w:t>See</w:t>
      </w:r>
      <w:r w:rsidR="002F1562">
        <w:rPr>
          <w:i/>
          <w:iCs/>
        </w:rPr>
        <w:t>,</w:t>
      </w:r>
      <w:r w:rsidR="003047C4" w:rsidRPr="003047C4">
        <w:rPr>
          <w:i/>
          <w:iCs/>
        </w:rPr>
        <w:t xml:space="preserve"> e.g.</w:t>
      </w:r>
      <w:r w:rsidR="002F1562">
        <w:rPr>
          <w:i/>
          <w:iCs/>
        </w:rPr>
        <w:t>,</w:t>
      </w:r>
      <w:r w:rsidR="003047C4">
        <w:t xml:space="preserve"> </w:t>
      </w:r>
      <w:r w:rsidR="004F368B" w:rsidRPr="004F368B">
        <w:t>Direct</w:t>
      </w:r>
      <w:r w:rsidR="00962636" w:rsidRPr="004F368B">
        <w:t xml:space="preserve"> Testimony </w:t>
      </w:r>
      <w:r w:rsidR="004F368B" w:rsidRPr="004F368B">
        <w:t>of Chad Prater</w:t>
      </w:r>
      <w:r w:rsidR="00740FF9">
        <w:t xml:space="preserve"> at 6</w:t>
      </w:r>
      <w:r w:rsidR="00811454">
        <w:t xml:space="preserve"> (</w:t>
      </w:r>
      <w:r w:rsidR="00964CF3">
        <w:t xml:space="preserve">describing Petitioner’s </w:t>
      </w:r>
      <w:r w:rsidR="00215547">
        <w:t>installation of a breaker, voltage regulators, overhead primary wire, underground primary conduit and wire, and a 500 kVA transformer</w:t>
      </w:r>
      <w:r w:rsidR="00964CF3">
        <w:t>)</w:t>
      </w:r>
      <w:r w:rsidR="00962636" w:rsidRPr="004F368B">
        <w:t xml:space="preserve">; </w:t>
      </w:r>
      <w:r w:rsidR="004F368B" w:rsidRPr="004F368B">
        <w:t xml:space="preserve">Direct Testimony of Freddy </w:t>
      </w:r>
      <w:r w:rsidR="00962636" w:rsidRPr="004F368B">
        <w:t>Morgan</w:t>
      </w:r>
      <w:r w:rsidR="00757757">
        <w:t xml:space="preserve"> at</w:t>
      </w:r>
      <w:r w:rsidR="00757757" w:rsidRPr="004F368B">
        <w:t xml:space="preserve"> </w:t>
      </w:r>
      <w:r w:rsidR="00962636" w:rsidRPr="004F368B">
        <w:t>5</w:t>
      </w:r>
      <w:r w:rsidR="00757757">
        <w:t>, Ex</w:t>
      </w:r>
      <w:r w:rsidR="002F1562">
        <w:t>s</w:t>
      </w:r>
      <w:r w:rsidR="00757757">
        <w:t>. 11 and 21</w:t>
      </w:r>
      <w:r w:rsidR="00964CF3">
        <w:t xml:space="preserve"> (quantifying the</w:t>
      </w:r>
      <w:r w:rsidR="00757757">
        <w:t xml:space="preserve"> equipment and labor costs associated with the utility work Petitioner</w:t>
      </w:r>
      <w:r w:rsidR="00964CF3">
        <w:t xml:space="preserve"> performed outside the Premises)</w:t>
      </w:r>
      <w:r w:rsidR="00757757">
        <w:t>.</w:t>
      </w:r>
      <w:r w:rsidR="002F1562">
        <w:t>)</w:t>
      </w:r>
      <w:r w:rsidR="00962636" w:rsidRPr="004F368B">
        <w:t xml:space="preserve"> </w:t>
      </w:r>
      <w:r w:rsidR="001F3131">
        <w:t xml:space="preserve">Rewarding Petitioner’s efforts in this regard would </w:t>
      </w:r>
      <w:r w:rsidR="00BF60E7" w:rsidRPr="00DF64E0">
        <w:t>contravene</w:t>
      </w:r>
      <w:r w:rsidR="00BF60E7" w:rsidRPr="00845A52">
        <w:t xml:space="preserve"> </w:t>
      </w:r>
      <w:r w:rsidR="001F3131">
        <w:t xml:space="preserve">the </w:t>
      </w:r>
      <w:r w:rsidR="00BF60E7" w:rsidRPr="00845A52">
        <w:t>Territorial Act</w:t>
      </w:r>
      <w:r w:rsidR="00AE6791">
        <w:t>’</w:t>
      </w:r>
      <w:r w:rsidR="00BF60E7" w:rsidRPr="00845A52">
        <w:t xml:space="preserve">s </w:t>
      </w:r>
      <w:r w:rsidR="00BF60E7" w:rsidRPr="00DF64E0">
        <w:t xml:space="preserve">stated </w:t>
      </w:r>
      <w:r w:rsidR="00BF60E7" w:rsidRPr="00845A52">
        <w:t xml:space="preserve">policy </w:t>
      </w:r>
      <w:r w:rsidR="00BF60E7">
        <w:t xml:space="preserve">goal </w:t>
      </w:r>
      <w:r w:rsidR="00AE6791">
        <w:t>“</w:t>
      </w:r>
      <w:r w:rsidR="00BF60E7">
        <w:t xml:space="preserve">to </w:t>
      </w:r>
      <w:r w:rsidR="00BF60E7" w:rsidRPr="00A8331D">
        <w:t>inhibit duplication of the lines of electric suppliers</w:t>
      </w:r>
      <w:r w:rsidR="00BF60E7">
        <w:t xml:space="preserve"> . . . [and]</w:t>
      </w:r>
      <w:r w:rsidR="00BF60E7" w:rsidRPr="00A8331D">
        <w:t xml:space="preserve"> to protect and conserve lines lawfully constructed by electric suppliers</w:t>
      </w:r>
      <w:r w:rsidR="00BF60E7">
        <w:t>.</w:t>
      </w:r>
      <w:r w:rsidR="00AE6791">
        <w:t>”</w:t>
      </w:r>
      <w:r w:rsidR="00BF60E7">
        <w:t xml:space="preserve"> O.C.G.A. § 46-3-2. </w:t>
      </w:r>
      <w:r w:rsidR="00EE1BE7">
        <w:t xml:space="preserve">Undermining a utilities’ grandfather rights to continue serving an existing customer absent proof of ‘dismantlement or destruction’ of the premises and reconstruction not in substantial kind </w:t>
      </w:r>
      <w:r w:rsidR="00BF60E7" w:rsidRPr="00845A52">
        <w:t>would reward</w:t>
      </w:r>
      <w:r w:rsidR="00F773D3">
        <w:t xml:space="preserve"> and incent</w:t>
      </w:r>
      <w:r w:rsidR="00BF60E7" w:rsidRPr="00845A52">
        <w:t xml:space="preserve"> circumvention </w:t>
      </w:r>
      <w:r w:rsidR="00EE1BE7">
        <w:t>of</w:t>
      </w:r>
      <w:r w:rsidR="00BF60E7" w:rsidRPr="00845A52">
        <w:t xml:space="preserve"> the </w:t>
      </w:r>
      <w:r w:rsidR="001F3131">
        <w:t xml:space="preserve">Territorials </w:t>
      </w:r>
      <w:r w:rsidR="00BF60E7" w:rsidRPr="00845A52">
        <w:t>Act</w:t>
      </w:r>
      <w:r w:rsidR="00AE6791">
        <w:t>’</w:t>
      </w:r>
      <w:r w:rsidR="00BF60E7" w:rsidRPr="00845A52">
        <w:t>s service mandate</w:t>
      </w:r>
      <w:r w:rsidR="00BF60E7" w:rsidRPr="00A8331D">
        <w:t xml:space="preserve"> and this Commission</w:t>
      </w:r>
      <w:r w:rsidR="00AE6791">
        <w:t>’</w:t>
      </w:r>
      <w:r w:rsidR="00BF60E7" w:rsidRPr="00A8331D">
        <w:t>s jurisdiction to enforce it</w:t>
      </w:r>
      <w:r w:rsidR="00BF60E7" w:rsidRPr="00845A52">
        <w:t>.</w:t>
      </w:r>
    </w:p>
    <w:p w14:paraId="031074C4" w14:textId="231FA11F" w:rsidR="00845A52" w:rsidRPr="00845A52" w:rsidRDefault="00625AB6" w:rsidP="00CE0B35">
      <w:pPr>
        <w:spacing w:line="480" w:lineRule="auto"/>
        <w:ind w:firstLine="720"/>
        <w:jc w:val="both"/>
        <w:rPr>
          <w:highlight w:val="yellow"/>
        </w:rPr>
      </w:pPr>
      <w:r>
        <w:t xml:space="preserve">Moreover, to the extent that Petitioner alleges </w:t>
      </w:r>
      <w:r w:rsidR="00C86590">
        <w:t xml:space="preserve">any activities </w:t>
      </w:r>
      <w:r w:rsidR="00106136">
        <w:t>remotely</w:t>
      </w:r>
      <w:r>
        <w:t xml:space="preserve"> resembling destruction or dismantlement, such changes </w:t>
      </w:r>
      <w:r w:rsidR="004F368B">
        <w:t>occurred outside the Premises and are</w:t>
      </w:r>
      <w:r w:rsidR="00106136">
        <w:t>,</w:t>
      </w:r>
      <w:r w:rsidR="004F368B">
        <w:t xml:space="preserve"> therefore</w:t>
      </w:r>
      <w:r w:rsidR="00106136">
        <w:t>,</w:t>
      </w:r>
      <w:r w:rsidR="004F368B">
        <w:t xml:space="preserve"> irrelevant to this proceeding. </w:t>
      </w:r>
      <w:r w:rsidR="00845A52" w:rsidRPr="00845A52">
        <w:t xml:space="preserve">The </w:t>
      </w:r>
      <w:r w:rsidR="00E16028" w:rsidRPr="00A92D59">
        <w:t>Territorial Act</w:t>
      </w:r>
      <w:r w:rsidR="00845A52" w:rsidRPr="00845A52">
        <w:t xml:space="preserve"> defines </w:t>
      </w:r>
      <w:r w:rsidR="00AE6791">
        <w:t>“</w:t>
      </w:r>
      <w:r w:rsidR="00845A52" w:rsidRPr="00845A52">
        <w:t>Premises</w:t>
      </w:r>
      <w:r w:rsidR="00AE6791">
        <w:t>”</w:t>
      </w:r>
      <w:r w:rsidR="00845A52" w:rsidRPr="00845A52">
        <w:t xml:space="preserve"> </w:t>
      </w:r>
      <w:r w:rsidR="00A92D59" w:rsidRPr="00A92D59">
        <w:t xml:space="preserve">as </w:t>
      </w:r>
      <w:r w:rsidR="00AE6791">
        <w:t>“</w:t>
      </w:r>
      <w:r w:rsidR="00A92D59" w:rsidRPr="00A92D59">
        <w:t>the building, structure, or facility to which electricity is being or is to be furnished,</w:t>
      </w:r>
      <w:r w:rsidR="00AE6791">
        <w:t>”</w:t>
      </w:r>
      <w:r w:rsidR="00A92D59">
        <w:t xml:space="preserve"> rather than the land upon which the building sits or its use. </w:t>
      </w:r>
      <w:r w:rsidR="004F368B">
        <w:t xml:space="preserve">O.C.G.A. § 46-3-3(6). </w:t>
      </w:r>
      <w:r w:rsidR="00E31E35">
        <w:t>The almost non-existent evidence of destruction or dismantlement to the Premises itself amounts to</w:t>
      </w:r>
      <w:r w:rsidR="00C86590">
        <w:t xml:space="preserve"> only</w:t>
      </w:r>
      <w:r w:rsidR="00E31E35">
        <w:t xml:space="preserve"> </w:t>
      </w:r>
      <w:r w:rsidR="00964CF3">
        <w:t>1% of the Premises’ exterior walls. (Ex. P14, p. 36 (showing the single-page demolition plan for the Premises removing 896 square feet of wall and four exterior bay doors).)</w:t>
      </w:r>
      <w:r w:rsidR="001E3C65">
        <w:rPr>
          <w:rStyle w:val="FootnoteReference"/>
        </w:rPr>
        <w:footnoteReference w:id="3"/>
      </w:r>
      <w:r w:rsidR="00E31E35">
        <w:t xml:space="preserve"> </w:t>
      </w:r>
      <w:r w:rsidR="00845A52" w:rsidRPr="00845A52">
        <w:t xml:space="preserve">Even taken </w:t>
      </w:r>
      <w:r w:rsidR="00E31E35">
        <w:t>with a view most favorable to Petition</w:t>
      </w:r>
      <w:r w:rsidR="00C86590">
        <w:t>er</w:t>
      </w:r>
      <w:r w:rsidR="00E31E35">
        <w:t xml:space="preserve"> as nonmovant</w:t>
      </w:r>
      <w:r w:rsidR="00845A52" w:rsidRPr="00845A52">
        <w:t xml:space="preserve">, </w:t>
      </w:r>
      <w:r w:rsidR="00845A52" w:rsidRPr="00845A52">
        <w:lastRenderedPageBreak/>
        <w:t xml:space="preserve">the </w:t>
      </w:r>
      <w:r w:rsidR="00106136">
        <w:t>evidence</w:t>
      </w:r>
      <w:r w:rsidR="00845A52" w:rsidRPr="00845A52">
        <w:t xml:space="preserve"> shows that the </w:t>
      </w:r>
      <w:r w:rsidR="001A16F4" w:rsidRPr="004F368B">
        <w:t>Premises</w:t>
      </w:r>
      <w:r w:rsidR="00AE6791">
        <w:t>’</w:t>
      </w:r>
      <w:r w:rsidR="001A16F4" w:rsidRPr="004F368B">
        <w:t xml:space="preserve"> </w:t>
      </w:r>
      <w:r w:rsidR="00845A52" w:rsidRPr="00845A52">
        <w:t xml:space="preserve">structure </w:t>
      </w:r>
      <w:r w:rsidR="00C86590" w:rsidRPr="00845A52">
        <w:t>remain</w:t>
      </w:r>
      <w:r w:rsidR="00C86590">
        <w:t xml:space="preserve">s </w:t>
      </w:r>
      <w:r w:rsidR="00E31E35">
        <w:t>intact, was not destroyed or dismantled</w:t>
      </w:r>
      <w:r w:rsidR="001A16F4" w:rsidRPr="004F368B">
        <w:t xml:space="preserve">, </w:t>
      </w:r>
      <w:r w:rsidR="00E31E35">
        <w:t xml:space="preserve">and a modest amount of </w:t>
      </w:r>
      <w:r w:rsidR="00845A52" w:rsidRPr="00845A52">
        <w:t xml:space="preserve">infrastructure </w:t>
      </w:r>
      <w:r w:rsidR="00E31E35">
        <w:t xml:space="preserve">was </w:t>
      </w:r>
      <w:r w:rsidR="001A16F4" w:rsidRPr="004F368B">
        <w:t xml:space="preserve">added </w:t>
      </w:r>
      <w:r w:rsidR="004F368B" w:rsidRPr="004F368B">
        <w:t>after the fact</w:t>
      </w:r>
      <w:r w:rsidR="00845A52" w:rsidRPr="00845A52">
        <w:t xml:space="preserve">. </w:t>
      </w:r>
    </w:p>
    <w:p w14:paraId="7073E4B9" w14:textId="1F703548" w:rsidR="00845A52" w:rsidRPr="00845A52" w:rsidRDefault="00845A52" w:rsidP="00CE0B35">
      <w:pPr>
        <w:spacing w:line="480" w:lineRule="auto"/>
        <w:ind w:firstLine="720"/>
        <w:jc w:val="both"/>
      </w:pPr>
      <w:r w:rsidRPr="00845A52">
        <w:t xml:space="preserve">For </w:t>
      </w:r>
      <w:r w:rsidR="003047C4">
        <w:t>each</w:t>
      </w:r>
      <w:r w:rsidRPr="00845A52">
        <w:t xml:space="preserve"> these reasons, the </w:t>
      </w:r>
      <w:r w:rsidR="00A8331D" w:rsidRPr="00A8331D">
        <w:t xml:space="preserve">complete </w:t>
      </w:r>
      <w:r w:rsidRPr="00845A52">
        <w:t xml:space="preserve">absence of </w:t>
      </w:r>
      <w:r w:rsidR="00A8331D" w:rsidRPr="00A8331D">
        <w:t>evidence demonstrating</w:t>
      </w:r>
      <w:r w:rsidRPr="00845A52">
        <w:t xml:space="preserve"> </w:t>
      </w:r>
      <w:r w:rsidR="001F3131">
        <w:t xml:space="preserve">destruction or </w:t>
      </w:r>
      <w:r w:rsidRPr="00845A52">
        <w:t xml:space="preserve">dismantlement </w:t>
      </w:r>
      <w:r w:rsidR="00A8331D" w:rsidRPr="00A8331D">
        <w:t xml:space="preserve">of the Premises </w:t>
      </w:r>
      <w:r w:rsidRPr="00845A52">
        <w:t>is dispositive. Petitioner</w:t>
      </w:r>
      <w:r w:rsidR="00AE6791">
        <w:t>’</w:t>
      </w:r>
      <w:r w:rsidRPr="00845A52">
        <w:t>s claim fails as a matter of law</w:t>
      </w:r>
      <w:r w:rsidR="001F3131">
        <w:t xml:space="preserve"> and summary judgment should be granted</w:t>
      </w:r>
      <w:r w:rsidRPr="00845A52">
        <w:t>.</w:t>
      </w:r>
    </w:p>
    <w:p w14:paraId="7FC8FC42" w14:textId="373CB71A" w:rsidR="00845A52" w:rsidRPr="00845A52" w:rsidRDefault="00845A52" w:rsidP="00D83BF2">
      <w:pPr>
        <w:spacing w:before="120" w:after="120" w:line="480" w:lineRule="auto"/>
      </w:pPr>
      <w:r w:rsidRPr="00EB08D8">
        <w:rPr>
          <w:b/>
          <w:bCs/>
        </w:rPr>
        <w:t>B.</w:t>
      </w:r>
      <w:r w:rsidR="00106136" w:rsidRPr="00EB08D8">
        <w:rPr>
          <w:b/>
          <w:bCs/>
        </w:rPr>
        <w:tab/>
      </w:r>
      <w:r w:rsidRPr="00845A52">
        <w:rPr>
          <w:b/>
          <w:bCs/>
        </w:rPr>
        <w:t>Petitioner</w:t>
      </w:r>
      <w:r w:rsidR="00AE6791">
        <w:rPr>
          <w:b/>
          <w:bCs/>
        </w:rPr>
        <w:t>’</w:t>
      </w:r>
      <w:r w:rsidRPr="00845A52">
        <w:rPr>
          <w:b/>
          <w:bCs/>
        </w:rPr>
        <w:t xml:space="preserve">s Single-Metered </w:t>
      </w:r>
      <w:r w:rsidR="00AE6791">
        <w:rPr>
          <w:b/>
          <w:bCs/>
        </w:rPr>
        <w:t>“</w:t>
      </w:r>
      <w:r w:rsidR="00EB08D8" w:rsidRPr="00EB08D8">
        <w:rPr>
          <w:b/>
          <w:bCs/>
        </w:rPr>
        <w:t>Exception</w:t>
      </w:r>
      <w:r w:rsidR="00AE6791">
        <w:rPr>
          <w:b/>
          <w:bCs/>
        </w:rPr>
        <w:t>”</w:t>
      </w:r>
      <w:r w:rsidR="00EB08D8" w:rsidRPr="00EB08D8">
        <w:rPr>
          <w:b/>
          <w:bCs/>
        </w:rPr>
        <w:t xml:space="preserve"> </w:t>
      </w:r>
      <w:r w:rsidRPr="00845A52">
        <w:rPr>
          <w:b/>
          <w:bCs/>
        </w:rPr>
        <w:t xml:space="preserve">Cases </w:t>
      </w:r>
      <w:r w:rsidR="00EB08D8" w:rsidRPr="00EB08D8">
        <w:rPr>
          <w:b/>
          <w:bCs/>
        </w:rPr>
        <w:t>a</w:t>
      </w:r>
      <w:r w:rsidRPr="00845A52">
        <w:rPr>
          <w:b/>
          <w:bCs/>
        </w:rPr>
        <w:t xml:space="preserve">re </w:t>
      </w:r>
      <w:r w:rsidR="00EB08D8" w:rsidRPr="00EB08D8">
        <w:rPr>
          <w:b/>
          <w:bCs/>
        </w:rPr>
        <w:t>Inapplicable to the Present Case.</w:t>
      </w:r>
    </w:p>
    <w:p w14:paraId="6B2FEF76" w14:textId="12A808E0" w:rsidR="00574EA3" w:rsidRPr="00574EA3" w:rsidRDefault="00361325" w:rsidP="00574EA3">
      <w:pPr>
        <w:spacing w:line="480" w:lineRule="auto"/>
        <w:ind w:firstLine="720"/>
        <w:jc w:val="both"/>
      </w:pPr>
      <w:r w:rsidRPr="00361325">
        <w:t>B</w:t>
      </w:r>
      <w:r w:rsidRPr="00845A52">
        <w:t xml:space="preserve">ecause Petitioner fails at the </w:t>
      </w:r>
      <w:r w:rsidR="00E31E35">
        <w:t>“destroyed or dismantled”</w:t>
      </w:r>
      <w:r w:rsidRPr="00845A52">
        <w:t xml:space="preserve"> threshold, the single-metered inquiry </w:t>
      </w:r>
      <w:r w:rsidR="00E31E35">
        <w:t>need not be reached</w:t>
      </w:r>
      <w:r w:rsidRPr="00845A52">
        <w:t xml:space="preserve">. </w:t>
      </w:r>
      <w:r>
        <w:t>E</w:t>
      </w:r>
      <w:r w:rsidRPr="00845A52">
        <w:t xml:space="preserve">ven </w:t>
      </w:r>
      <w:r>
        <w:t>so</w:t>
      </w:r>
      <w:r w:rsidRPr="00845A52">
        <w:t>, Petitioner</w:t>
      </w:r>
      <w:r w:rsidR="00AE6791">
        <w:t>’</w:t>
      </w:r>
      <w:r w:rsidRPr="00845A52">
        <w:t>s cited cases do not advance its cause</w:t>
      </w:r>
      <w:r w:rsidR="003745B6">
        <w:t>:</w:t>
      </w:r>
      <w:r w:rsidR="003745B6" w:rsidRPr="003745B6">
        <w:t xml:space="preserve"> </w:t>
      </w:r>
      <w:r w:rsidR="003745B6" w:rsidRPr="00845A52">
        <w:t>each</w:t>
      </w:r>
      <w:r w:rsidR="003745B6" w:rsidRPr="00361325">
        <w:t xml:space="preserve"> </w:t>
      </w:r>
      <w:r w:rsidR="00544B16">
        <w:t xml:space="preserve">case </w:t>
      </w:r>
      <w:r w:rsidR="003745B6" w:rsidRPr="00845A52">
        <w:t>address</w:t>
      </w:r>
      <w:r w:rsidR="00E31E35">
        <w:t>es</w:t>
      </w:r>
      <w:r w:rsidR="003745B6" w:rsidRPr="00845A52">
        <w:t xml:space="preserve"> materially different facts that do not align with this record</w:t>
      </w:r>
      <w:r w:rsidR="003745B6">
        <w:t>.</w:t>
      </w:r>
      <w:r w:rsidRPr="00361325">
        <w:t xml:space="preserve"> </w:t>
      </w:r>
      <w:r w:rsidR="00544B16" w:rsidRPr="00845A52">
        <w:t xml:space="preserve">Petitioner leans heavily on decisions where </w:t>
      </w:r>
      <w:r w:rsidR="00544B16" w:rsidRPr="00574EA3">
        <w:t xml:space="preserve">the presence of </w:t>
      </w:r>
      <w:r w:rsidR="00544B16" w:rsidRPr="00845A52">
        <w:t xml:space="preserve">multiple meters did not </w:t>
      </w:r>
      <w:r w:rsidR="00544B16">
        <w:t xml:space="preserve">affect the applicability of </w:t>
      </w:r>
      <w:r w:rsidR="00656D7A">
        <w:t xml:space="preserve">the grandfather clause of </w:t>
      </w:r>
      <w:r w:rsidR="00544B16">
        <w:t>the Territorial Act</w:t>
      </w:r>
      <w:r w:rsidR="00656D7A">
        <w:t xml:space="preserve"> </w:t>
      </w:r>
      <w:r w:rsidR="00544B16" w:rsidRPr="00574EA3">
        <w:t xml:space="preserve">but fails to address </w:t>
      </w:r>
      <w:r w:rsidR="00544B16" w:rsidRPr="00845A52">
        <w:t xml:space="preserve">the </w:t>
      </w:r>
      <w:r w:rsidR="00544B16" w:rsidRPr="00574EA3">
        <w:t>material facts warranting those outcomes.</w:t>
      </w:r>
      <w:r w:rsidR="00544B16">
        <w:t xml:space="preserve"> </w:t>
      </w:r>
      <w:r w:rsidR="00656D7A">
        <w:t xml:space="preserve">The decisions relied upon by Petitioner </w:t>
      </w:r>
      <w:r w:rsidR="003745B6">
        <w:t>accentuate</w:t>
      </w:r>
      <w:r w:rsidR="003745B6" w:rsidRPr="00845A52">
        <w:t xml:space="preserve"> that</w:t>
      </w:r>
      <w:r w:rsidR="003745B6">
        <w:t xml:space="preserve">, </w:t>
      </w:r>
      <w:r w:rsidR="003745B6" w:rsidRPr="00845A52">
        <w:t xml:space="preserve">absent </w:t>
      </w:r>
      <w:r w:rsidR="003745B6">
        <w:t>clear</w:t>
      </w:r>
      <w:r w:rsidR="003745B6" w:rsidRPr="003745B6">
        <w:t xml:space="preserve"> differentiating</w:t>
      </w:r>
      <w:r w:rsidR="003745B6" w:rsidRPr="00845A52">
        <w:t xml:space="preserve"> factors, </w:t>
      </w:r>
      <w:r w:rsidR="00544B16">
        <w:t xml:space="preserve">a Premises with multiple meters </w:t>
      </w:r>
      <w:r w:rsidR="003745B6" w:rsidRPr="003745B6">
        <w:t>cann</w:t>
      </w:r>
      <w:r w:rsidR="003745B6" w:rsidRPr="00845A52">
        <w:t>ot satisfy the</w:t>
      </w:r>
      <w:r w:rsidR="003745B6" w:rsidRPr="003745B6">
        <w:t xml:space="preserve"> Territorial Act</w:t>
      </w:r>
      <w:r w:rsidR="00AE6791">
        <w:t>’</w:t>
      </w:r>
      <w:r w:rsidR="003745B6" w:rsidRPr="003745B6">
        <w:t>s</w:t>
      </w:r>
      <w:r w:rsidR="003745B6" w:rsidRPr="00845A52">
        <w:t xml:space="preserve"> requirement</w:t>
      </w:r>
      <w:r w:rsidR="00544B16">
        <w:t xml:space="preserve"> of single-metered service</w:t>
      </w:r>
      <w:r w:rsidR="003745B6" w:rsidRPr="00845A52">
        <w:t>.</w:t>
      </w:r>
      <w:r w:rsidR="00574EA3">
        <w:t xml:space="preserve"> </w:t>
      </w:r>
    </w:p>
    <w:p w14:paraId="5CEC8CA1" w14:textId="4FB93C5A" w:rsidR="00574EA3" w:rsidRPr="004F252B" w:rsidRDefault="006B37C8" w:rsidP="004F252B">
      <w:pPr>
        <w:spacing w:line="480" w:lineRule="auto"/>
        <w:ind w:firstLine="720"/>
        <w:jc w:val="both"/>
        <w:rPr>
          <w:highlight w:val="yellow"/>
        </w:rPr>
      </w:pPr>
      <w:r w:rsidRPr="00845A52">
        <w:t xml:space="preserve">In </w:t>
      </w:r>
      <w:r w:rsidRPr="00845A52">
        <w:rPr>
          <w:i/>
          <w:iCs/>
        </w:rPr>
        <w:t>Central Georgia EMC</w:t>
      </w:r>
      <w:r w:rsidRPr="00845A52">
        <w:t xml:space="preserve">, </w:t>
      </w:r>
      <w:r w:rsidR="004F252B" w:rsidRPr="00EB08D8">
        <w:t>the Court of Appeals affirmed the Commission</w:t>
      </w:r>
      <w:r w:rsidR="00AE6791">
        <w:t>’</w:t>
      </w:r>
      <w:r w:rsidR="004F252B" w:rsidRPr="00EB08D8">
        <w:t>s decision that the grandfather clause protects a utility</w:t>
      </w:r>
      <w:r w:rsidR="00AE6791">
        <w:t>’</w:t>
      </w:r>
      <w:r w:rsidR="004F252B" w:rsidRPr="00EB08D8">
        <w:t>s right to serve a new building or a building expansion.</w:t>
      </w:r>
      <w:r w:rsidR="00EB08D8">
        <w:rPr>
          <w:rStyle w:val="FootnoteReference"/>
        </w:rPr>
        <w:footnoteReference w:id="4"/>
      </w:r>
      <w:r w:rsidR="004F252B" w:rsidRPr="00EB08D8">
        <w:t xml:space="preserve"> </w:t>
      </w:r>
      <w:r w:rsidR="004F252B" w:rsidRPr="004F252B">
        <w:t>T</w:t>
      </w:r>
      <w:r w:rsidR="00A57145" w:rsidRPr="004F252B">
        <w:t xml:space="preserve">he hearing officer found that </w:t>
      </w:r>
      <w:r w:rsidR="004F252B" w:rsidRPr="004F252B">
        <w:t xml:space="preserve">while the expansion was </w:t>
      </w:r>
      <w:r w:rsidR="00EB08D8">
        <w:t xml:space="preserve">initially </w:t>
      </w:r>
      <w:r w:rsidR="004F252B" w:rsidRPr="004F252B">
        <w:t xml:space="preserve">designed to receive single-metered service, </w:t>
      </w:r>
      <w:r w:rsidR="00A57145" w:rsidRPr="004F252B">
        <w:t xml:space="preserve">the </w:t>
      </w:r>
      <w:r w:rsidR="00656D7A">
        <w:t xml:space="preserve">existence of </w:t>
      </w:r>
      <w:r w:rsidR="00A57145" w:rsidRPr="004F252B">
        <w:t>multiple meters result</w:t>
      </w:r>
      <w:r w:rsidR="00656D7A">
        <w:t>ed</w:t>
      </w:r>
      <w:r w:rsidR="00A57145" w:rsidRPr="004F252B">
        <w:t xml:space="preserve"> </w:t>
      </w:r>
      <w:r w:rsidR="00656D7A">
        <w:t>from</w:t>
      </w:r>
      <w:r w:rsidR="00656D7A" w:rsidRPr="004F252B">
        <w:t xml:space="preserve"> </w:t>
      </w:r>
      <w:r w:rsidR="00A57145" w:rsidRPr="004F252B">
        <w:t xml:space="preserve">a change </w:t>
      </w:r>
      <w:r w:rsidR="00EB08D8">
        <w:t>order</w:t>
      </w:r>
      <w:r w:rsidR="00A57145" w:rsidRPr="004F252B">
        <w:t xml:space="preserve"> issued during construction</w:t>
      </w:r>
      <w:r w:rsidR="004F252B" w:rsidRPr="004F252B">
        <w:t xml:space="preserve"> </w:t>
      </w:r>
      <w:r w:rsidR="00656D7A">
        <w:t xml:space="preserve">that was </w:t>
      </w:r>
      <w:r w:rsidR="004F252B" w:rsidRPr="004F252B">
        <w:t>beyond the City</w:t>
      </w:r>
      <w:r w:rsidR="00AE6791">
        <w:t>’</w:t>
      </w:r>
      <w:r w:rsidR="004F252B" w:rsidRPr="004F252B">
        <w:t>s control</w:t>
      </w:r>
      <w:r w:rsidRPr="00845A52">
        <w:t>.</w:t>
      </w:r>
      <w:r w:rsidR="004F252B">
        <w:rPr>
          <w:rStyle w:val="FootnoteReference"/>
        </w:rPr>
        <w:footnoteReference w:id="5"/>
      </w:r>
      <w:r>
        <w:t xml:space="preserve"> </w:t>
      </w:r>
      <w:r w:rsidR="00574EA3" w:rsidRPr="006B37C8">
        <w:t>Petitioner</w:t>
      </w:r>
      <w:r w:rsidR="00AE6791">
        <w:t>’</w:t>
      </w:r>
      <w:r w:rsidR="00574EA3" w:rsidRPr="006B37C8">
        <w:t xml:space="preserve">s </w:t>
      </w:r>
      <w:r w:rsidR="00EB08D8">
        <w:t>misleading</w:t>
      </w:r>
      <w:r w:rsidR="009D4D35">
        <w:t xml:space="preserve"> quote</w:t>
      </w:r>
      <w:r>
        <w:t xml:space="preserve"> of the </w:t>
      </w:r>
      <w:r w:rsidR="00656D7A">
        <w:t xml:space="preserve">hearing officer’s </w:t>
      </w:r>
      <w:r w:rsidR="009D4D35">
        <w:t>discussion</w:t>
      </w:r>
      <w:r>
        <w:t xml:space="preserve"> of Commission</w:t>
      </w:r>
      <w:r w:rsidR="009D4D35">
        <w:t xml:space="preserve"> precedent</w:t>
      </w:r>
      <w:r w:rsidR="00574EA3" w:rsidRPr="006B37C8">
        <w:t xml:space="preserve"> </w:t>
      </w:r>
      <w:r w:rsidR="00EB08D8">
        <w:t>deceptively omits</w:t>
      </w:r>
      <w:r w:rsidR="009D4D35">
        <w:t xml:space="preserve"> the first half of the sentence </w:t>
      </w:r>
      <w:r w:rsidR="00EB08D8">
        <w:t>limiting</w:t>
      </w:r>
      <w:r w:rsidR="009D4D35">
        <w:t xml:space="preserve"> the single-metering exception to </w:t>
      </w:r>
      <w:r w:rsidR="00AE6791">
        <w:t>“</w:t>
      </w:r>
      <w:r w:rsidR="009D4D35" w:rsidRPr="00D258C9">
        <w:rPr>
          <w:color w:val="000000"/>
          <w:spacing w:val="3"/>
        </w:rPr>
        <w:t xml:space="preserve">situations where the electric customer has chosen a different </w:t>
      </w:r>
      <w:r w:rsidR="009D4D35" w:rsidRPr="00D258C9">
        <w:rPr>
          <w:color w:val="000000"/>
          <w:spacing w:val="3"/>
        </w:rPr>
        <w:lastRenderedPageBreak/>
        <w:t>electric provider for a disputed expansion, resulting in separate metering of the disputed expansion</w:t>
      </w:r>
      <w:r w:rsidR="009D4D35">
        <w:rPr>
          <w:color w:val="000000"/>
          <w:spacing w:val="3"/>
        </w:rPr>
        <w:t>.</w:t>
      </w:r>
      <w:r w:rsidR="00AE6791">
        <w:rPr>
          <w:color w:val="000000"/>
          <w:spacing w:val="3"/>
        </w:rPr>
        <w:t>”</w:t>
      </w:r>
      <w:r w:rsidR="009D4D35">
        <w:rPr>
          <w:rStyle w:val="FootnoteReference"/>
          <w:color w:val="000000"/>
          <w:spacing w:val="3"/>
        </w:rPr>
        <w:footnoteReference w:id="6"/>
      </w:r>
    </w:p>
    <w:p w14:paraId="552BD9DB" w14:textId="2B5985CB" w:rsidR="00845A52" w:rsidRPr="000761C0" w:rsidRDefault="00845A52" w:rsidP="0050262F">
      <w:pPr>
        <w:spacing w:line="480" w:lineRule="auto"/>
        <w:ind w:firstLine="720"/>
        <w:jc w:val="both"/>
      </w:pPr>
      <w:r w:rsidRPr="00845A52">
        <w:t xml:space="preserve">In </w:t>
      </w:r>
      <w:r w:rsidRPr="00845A52">
        <w:rPr>
          <w:i/>
          <w:iCs/>
        </w:rPr>
        <w:t>Carroll EMC</w:t>
      </w:r>
      <w:r w:rsidRPr="00845A52">
        <w:t xml:space="preserve">, separate buildings received two voltages </w:t>
      </w:r>
      <w:r w:rsidR="00656D7A">
        <w:t>at</w:t>
      </w:r>
      <w:r w:rsidR="00656D7A" w:rsidRPr="00845A52">
        <w:t xml:space="preserve"> </w:t>
      </w:r>
      <w:r w:rsidRPr="00845A52">
        <w:t>a single premises, and billing was unified for all manufacturing processes.</w:t>
      </w:r>
      <w:r w:rsidR="00574EA3">
        <w:rPr>
          <w:rStyle w:val="FootnoteReference"/>
        </w:rPr>
        <w:footnoteReference w:id="7"/>
      </w:r>
      <w:r w:rsidR="000761C0" w:rsidRPr="000761C0">
        <w:t xml:space="preserve"> </w:t>
      </w:r>
      <w:r w:rsidR="005D6A96">
        <w:t xml:space="preserve">A single meter cannot be used for different voltage levels. </w:t>
      </w:r>
      <w:r w:rsidR="000761C0" w:rsidRPr="000761C0">
        <w:t xml:space="preserve">As described by the hearing officer and cited by Petitioner, </w:t>
      </w:r>
      <w:r w:rsidR="00AE6791">
        <w:t>“</w:t>
      </w:r>
      <w:r w:rsidR="000761C0" w:rsidRPr="000761C0">
        <w:t>such two voltage service necessitated separate transformers and separate meters for each such voltage.</w:t>
      </w:r>
      <w:r w:rsidR="00AE6791">
        <w:t>”</w:t>
      </w:r>
      <w:r w:rsidR="000761C0">
        <w:rPr>
          <w:rStyle w:val="FootnoteReference"/>
        </w:rPr>
        <w:footnoteReference w:id="8"/>
      </w:r>
      <w:r w:rsidR="000761C0">
        <w:t xml:space="preserve"> </w:t>
      </w:r>
      <w:r w:rsidR="005736CF">
        <w:t xml:space="preserve">In </w:t>
      </w:r>
      <w:r w:rsidR="005D6A96">
        <w:t>deciding the case</w:t>
      </w:r>
      <w:r w:rsidR="005736CF">
        <w:t>, the Commission</w:t>
      </w:r>
      <w:r w:rsidR="000761C0" w:rsidRPr="000761C0">
        <w:t xml:space="preserve"> </w:t>
      </w:r>
      <w:r w:rsidR="005736CF">
        <w:t>examined</w:t>
      </w:r>
      <w:r w:rsidR="000761C0" w:rsidRPr="000761C0">
        <w:t xml:space="preserve"> </w:t>
      </w:r>
      <w:r w:rsidR="005D6A96">
        <w:t>the</w:t>
      </w:r>
      <w:r w:rsidR="005D6A96" w:rsidRPr="000761C0">
        <w:t xml:space="preserve"> </w:t>
      </w:r>
      <w:r w:rsidR="000761C0" w:rsidRPr="000761C0">
        <w:t xml:space="preserve">highly specific </w:t>
      </w:r>
      <w:r w:rsidR="005736CF">
        <w:t xml:space="preserve">set of facts </w:t>
      </w:r>
      <w:r w:rsidR="00574EA3">
        <w:t xml:space="preserve">before </w:t>
      </w:r>
      <w:r w:rsidR="005736CF">
        <w:t xml:space="preserve">creating </w:t>
      </w:r>
      <w:r w:rsidR="005D6A96">
        <w:t xml:space="preserve">an exception to the grandfather clause based on a factual situation that </w:t>
      </w:r>
      <w:r w:rsidR="000761C0" w:rsidRPr="000761C0">
        <w:t>the General Assembly did not conside</w:t>
      </w:r>
      <w:r w:rsidR="005736CF">
        <w:t>r</w:t>
      </w:r>
      <w:r w:rsidR="000761C0" w:rsidRPr="000761C0">
        <w:t>.</w:t>
      </w:r>
      <w:r w:rsidR="005736CF">
        <w:rPr>
          <w:rStyle w:val="FootnoteReference"/>
        </w:rPr>
        <w:footnoteReference w:id="9"/>
      </w:r>
    </w:p>
    <w:p w14:paraId="3BE993EE" w14:textId="4EC3BB15" w:rsidR="0050262F" w:rsidRPr="00845A52" w:rsidRDefault="005D6A96" w:rsidP="0083378B">
      <w:pPr>
        <w:spacing w:line="480" w:lineRule="auto"/>
        <w:ind w:firstLine="720"/>
        <w:jc w:val="both"/>
        <w:rPr>
          <w:highlight w:val="yellow"/>
        </w:rPr>
      </w:pPr>
      <w:r>
        <w:t>Finally</w:t>
      </w:r>
      <w:r w:rsidR="004D4526" w:rsidRPr="00296EDC">
        <w:t>,</w:t>
      </w:r>
      <w:r w:rsidR="0050262F" w:rsidRPr="00296EDC">
        <w:t xml:space="preserve"> </w:t>
      </w:r>
      <w:r w:rsidR="0050262F" w:rsidRPr="00296EDC">
        <w:rPr>
          <w:i/>
          <w:iCs/>
        </w:rPr>
        <w:t xml:space="preserve">Sawnee </w:t>
      </w:r>
      <w:r w:rsidR="004D4526" w:rsidRPr="00296EDC">
        <w:t>bears</w:t>
      </w:r>
      <w:r w:rsidR="0083378B" w:rsidRPr="00296EDC">
        <w:t xml:space="preserve"> almost</w:t>
      </w:r>
      <w:r w:rsidR="004D4526" w:rsidRPr="00296EDC">
        <w:t xml:space="preserve"> no resemblance to this case</w:t>
      </w:r>
      <w:r w:rsidR="0083378B" w:rsidRPr="00296EDC">
        <w:t>, but to the extent any similarities exist, they support a ruling for Georgia Power</w:t>
      </w:r>
      <w:r w:rsidR="004D4526" w:rsidRPr="00296EDC">
        <w:t>.</w:t>
      </w:r>
      <w:r w:rsidR="0050262F" w:rsidRPr="00296EDC">
        <w:t xml:space="preserve"> </w:t>
      </w:r>
      <w:r>
        <w:t>In</w:t>
      </w:r>
      <w:r w:rsidRPr="00574EA3">
        <w:t xml:space="preserve"> </w:t>
      </w:r>
      <w:r w:rsidR="004D4526" w:rsidRPr="00574EA3">
        <w:rPr>
          <w:i/>
          <w:iCs/>
        </w:rPr>
        <w:t>Sawnee</w:t>
      </w:r>
      <w:r>
        <w:t>,</w:t>
      </w:r>
      <w:r w:rsidR="004D4526" w:rsidRPr="00574EA3">
        <w:t xml:space="preserve"> </w:t>
      </w:r>
      <w:r>
        <w:t xml:space="preserve">the Supreme </w:t>
      </w:r>
      <w:r w:rsidR="004D4526" w:rsidRPr="00574EA3">
        <w:t xml:space="preserve">Court </w:t>
      </w:r>
      <w:r w:rsidR="00964CF3">
        <w:t xml:space="preserve">of Georgia </w:t>
      </w:r>
      <w:r w:rsidR="00AC16F3">
        <w:t xml:space="preserve">held that “the large-load customer choice exception does not apply to the complex because the </w:t>
      </w:r>
      <w:r w:rsidR="0083378B" w:rsidRPr="00574EA3">
        <w:t xml:space="preserve">380 individual tenants, each with separate meters, do not constitute </w:t>
      </w:r>
      <w:r w:rsidR="00AE6791">
        <w:t>‘</w:t>
      </w:r>
      <w:r w:rsidR="0083378B" w:rsidRPr="00574EA3">
        <w:t>one consumer</w:t>
      </w:r>
      <w:r w:rsidR="00AE6791">
        <w:t>’</w:t>
      </w:r>
      <w:r w:rsidR="0083378B" w:rsidRPr="00574EA3">
        <w:t xml:space="preserve"> with </w:t>
      </w:r>
      <w:r w:rsidR="00AE6791">
        <w:t>‘</w:t>
      </w:r>
      <w:r w:rsidR="0083378B" w:rsidRPr="00574EA3">
        <w:t>single metered service</w:t>
      </w:r>
      <w:r w:rsidR="00AE6791">
        <w:t>’</w:t>
      </w:r>
      <w:r w:rsidR="0083378B" w:rsidRPr="00574EA3">
        <w:t xml:space="preserve"> as contemplated by O</w:t>
      </w:r>
      <w:r w:rsidR="00296EDC" w:rsidRPr="00574EA3">
        <w:t>.</w:t>
      </w:r>
      <w:r w:rsidR="0083378B" w:rsidRPr="00574EA3">
        <w:t>C</w:t>
      </w:r>
      <w:r w:rsidR="00296EDC" w:rsidRPr="00574EA3">
        <w:t>.</w:t>
      </w:r>
      <w:r w:rsidR="0083378B" w:rsidRPr="00574EA3">
        <w:t>G</w:t>
      </w:r>
      <w:r w:rsidR="00296EDC" w:rsidRPr="00574EA3">
        <w:t>.</w:t>
      </w:r>
      <w:r w:rsidR="0083378B" w:rsidRPr="00574EA3">
        <w:t>A</w:t>
      </w:r>
      <w:r w:rsidR="00296EDC" w:rsidRPr="00574EA3">
        <w:t>.</w:t>
      </w:r>
      <w:r w:rsidR="0083378B" w:rsidRPr="00574EA3">
        <w:t xml:space="preserve"> § 46</w:t>
      </w:r>
      <w:r w:rsidR="00296EDC" w:rsidRPr="00574EA3">
        <w:t>-</w:t>
      </w:r>
      <w:r w:rsidR="0083378B" w:rsidRPr="00574EA3">
        <w:t>3</w:t>
      </w:r>
      <w:r w:rsidR="00296EDC" w:rsidRPr="00574EA3">
        <w:t>-</w:t>
      </w:r>
      <w:r w:rsidR="0083378B" w:rsidRPr="00574EA3">
        <w:t>8(a).</w:t>
      </w:r>
      <w:r w:rsidR="00964CF3">
        <w:t>”</w:t>
      </w:r>
      <w:r w:rsidR="00296EDC" w:rsidRPr="00574EA3">
        <w:rPr>
          <w:rStyle w:val="FootnoteReference"/>
        </w:rPr>
        <w:footnoteReference w:id="10"/>
      </w:r>
    </w:p>
    <w:p w14:paraId="66BD85FA" w14:textId="00DBEE4E" w:rsidR="00845A52" w:rsidRDefault="0050262F" w:rsidP="00CE0B35">
      <w:pPr>
        <w:spacing w:line="480" w:lineRule="auto"/>
        <w:ind w:firstLine="720"/>
        <w:jc w:val="both"/>
        <w:rPr>
          <w:highlight w:val="yellow"/>
        </w:rPr>
      </w:pPr>
      <w:r w:rsidRPr="0050262F">
        <w:t>None of the</w:t>
      </w:r>
      <w:r w:rsidR="00845A52" w:rsidRPr="00845A52">
        <w:t xml:space="preserve"> factual predicates </w:t>
      </w:r>
      <w:r w:rsidR="00AC16F3">
        <w:t xml:space="preserve">in the cases cited by Petitioner </w:t>
      </w:r>
      <w:r w:rsidR="00845A52" w:rsidRPr="00845A52">
        <w:t xml:space="preserve">exist here. The four Georgia Power meters at issue </w:t>
      </w:r>
      <w:r w:rsidR="00AC16F3">
        <w:t xml:space="preserve">here </w:t>
      </w:r>
      <w:r w:rsidR="00845A52" w:rsidRPr="00845A52">
        <w:t>were installed to separately meter service to different parts of the Premises during its original construction and have remained in place.</w:t>
      </w:r>
      <w:r w:rsidRPr="0050262F">
        <w:t xml:space="preserve"> </w:t>
      </w:r>
      <w:r w:rsidR="00845A52" w:rsidRPr="00845A52">
        <w:t xml:space="preserve">There is no </w:t>
      </w:r>
      <w:r w:rsidR="00C0603F">
        <w:t>additional building, built after initial construction, being served by a different electric supplier (</w:t>
      </w:r>
      <w:r w:rsidR="00C0603F" w:rsidRPr="00964CF3">
        <w:rPr>
          <w:i/>
          <w:iCs/>
        </w:rPr>
        <w:t>Central Georgia EMC</w:t>
      </w:r>
      <w:r w:rsidR="00C0603F">
        <w:t xml:space="preserve">); there is no </w:t>
      </w:r>
      <w:r w:rsidR="00845A52" w:rsidRPr="00845A52">
        <w:t>technical impossibility to serving the Premises through a single meter</w:t>
      </w:r>
      <w:r w:rsidR="00C0603F">
        <w:t xml:space="preserve"> (</w:t>
      </w:r>
      <w:r w:rsidR="00C0603F" w:rsidRPr="00964CF3">
        <w:rPr>
          <w:i/>
          <w:iCs/>
        </w:rPr>
        <w:t>Ca</w:t>
      </w:r>
      <w:r w:rsidR="00C0603F">
        <w:rPr>
          <w:i/>
          <w:iCs/>
        </w:rPr>
        <w:t>r</w:t>
      </w:r>
      <w:r w:rsidR="00C0603F" w:rsidRPr="00964CF3">
        <w:rPr>
          <w:i/>
          <w:iCs/>
        </w:rPr>
        <w:t>roll EMC</w:t>
      </w:r>
      <w:r w:rsidR="00C0603F">
        <w:t>)</w:t>
      </w:r>
      <w:r w:rsidR="00A9492A">
        <w:t>;</w:t>
      </w:r>
      <w:r w:rsidR="00AC16F3">
        <w:t xml:space="preserve"> </w:t>
      </w:r>
      <w:r w:rsidR="00C0603F">
        <w:t xml:space="preserve">and </w:t>
      </w:r>
      <w:r w:rsidR="00845A52" w:rsidRPr="00845A52">
        <w:t>Petitioner</w:t>
      </w:r>
      <w:r w:rsidR="00AE6791">
        <w:t>’</w:t>
      </w:r>
      <w:r w:rsidR="00845A52" w:rsidRPr="00845A52">
        <w:t xml:space="preserve">s after-the-fact aggregation of usage does not </w:t>
      </w:r>
      <w:r w:rsidRPr="000761C0">
        <w:t>transform service through</w:t>
      </w:r>
      <w:r w:rsidR="00845A52" w:rsidRPr="00845A52">
        <w:t xml:space="preserve"> multiple meters into single-metered service under the statute</w:t>
      </w:r>
      <w:r w:rsidR="00C0603F">
        <w:t xml:space="preserve"> (</w:t>
      </w:r>
      <w:r w:rsidR="00C0603F" w:rsidRPr="00964CF3">
        <w:rPr>
          <w:i/>
          <w:iCs/>
        </w:rPr>
        <w:t>Sawnee</w:t>
      </w:r>
      <w:r w:rsidR="00C0603F">
        <w:t>)</w:t>
      </w:r>
      <w:r w:rsidR="00845A52" w:rsidRPr="00845A52">
        <w:t>.</w:t>
      </w:r>
      <w:r w:rsidR="00A9492A">
        <w:t xml:space="preserve"> In short, Petitioner </w:t>
      </w:r>
      <w:r w:rsidR="00A9492A">
        <w:lastRenderedPageBreak/>
        <w:t xml:space="preserve">has failed to establish that this set of facts warrants an exception to the </w:t>
      </w:r>
      <w:r w:rsidR="00AE7C4E">
        <w:t>single-metered service requirement of the grandfather clause.</w:t>
      </w:r>
    </w:p>
    <w:p w14:paraId="6758F8FD" w14:textId="7BA548F8" w:rsidR="00845A52" w:rsidRPr="00845A52" w:rsidRDefault="00845A52" w:rsidP="00845A52">
      <w:pPr>
        <w:spacing w:line="480" w:lineRule="auto"/>
        <w:jc w:val="center"/>
      </w:pPr>
      <w:r w:rsidRPr="00845A52">
        <w:rPr>
          <w:b/>
          <w:bCs/>
        </w:rPr>
        <w:t>IV.</w:t>
      </w:r>
      <w:r w:rsidRPr="00845A52">
        <w:rPr>
          <w:b/>
          <w:bCs/>
        </w:rPr>
        <w:tab/>
        <w:t>CONCLUSION</w:t>
      </w:r>
    </w:p>
    <w:p w14:paraId="5B54F107" w14:textId="078168FB" w:rsidR="00845A52" w:rsidRDefault="00845A52" w:rsidP="00CE0B35">
      <w:pPr>
        <w:spacing w:line="480" w:lineRule="auto"/>
        <w:ind w:firstLine="720"/>
        <w:jc w:val="both"/>
      </w:pPr>
      <w:r w:rsidRPr="00845A52">
        <w:t>For these reasons, the Hearing Officer should grant Georgia Power</w:t>
      </w:r>
      <w:r w:rsidR="00AE6791">
        <w:t>’</w:t>
      </w:r>
      <w:r w:rsidRPr="00845A52">
        <w:t>s Motion for Summary Judgment, deny the Petition, and affirm Georgia Power</w:t>
      </w:r>
      <w:r w:rsidR="00AE6791">
        <w:t>’</w:t>
      </w:r>
      <w:r w:rsidRPr="00845A52">
        <w:t>s exclusive right to serve the Premises.</w:t>
      </w:r>
    </w:p>
    <w:p w14:paraId="1D032FF4" w14:textId="77777777" w:rsidR="00A9492A" w:rsidRPr="00845A52" w:rsidRDefault="00A9492A" w:rsidP="00CE0B35">
      <w:pPr>
        <w:spacing w:line="480" w:lineRule="auto"/>
        <w:ind w:firstLine="720"/>
        <w:jc w:val="both"/>
      </w:pPr>
    </w:p>
    <w:p w14:paraId="5E233379" w14:textId="1E6AA3F4" w:rsidR="00845A52" w:rsidRPr="00224F04" w:rsidRDefault="00845A52" w:rsidP="003047C4">
      <w:pPr>
        <w:keepNext/>
        <w:spacing w:line="480" w:lineRule="auto"/>
        <w:ind w:firstLine="720"/>
      </w:pPr>
      <w:r>
        <w:t>Respectfully submitted, this 26th day of August, 2025</w:t>
      </w:r>
      <w:r w:rsidRPr="00224F04">
        <w:t xml:space="preserve">. </w:t>
      </w:r>
    </w:p>
    <w:p w14:paraId="077A8FEA" w14:textId="77777777" w:rsidR="00845A52" w:rsidRDefault="00845A52" w:rsidP="003047C4">
      <w:pPr>
        <w:keepNext/>
        <w:rPr>
          <w:spacing w:val="-3"/>
        </w:rPr>
      </w:pPr>
    </w:p>
    <w:p w14:paraId="7F3C1AC9" w14:textId="77777777" w:rsidR="0034106C" w:rsidRPr="00224F04" w:rsidRDefault="0034106C" w:rsidP="003047C4">
      <w:pPr>
        <w:keepNext/>
        <w:rPr>
          <w:spacing w:val="-3"/>
        </w:rPr>
      </w:pPr>
    </w:p>
    <w:p w14:paraId="03EFA727" w14:textId="77777777" w:rsidR="00845A52" w:rsidRPr="00224F04" w:rsidRDefault="00845A52" w:rsidP="003047C4">
      <w:pPr>
        <w:keepNext/>
        <w:tabs>
          <w:tab w:val="left" w:pos="3960"/>
        </w:tabs>
        <w:rPr>
          <w:spacing w:val="-3"/>
        </w:rPr>
      </w:pPr>
      <w:r w:rsidRPr="00224F04">
        <w:rPr>
          <w:spacing w:val="-3"/>
        </w:rPr>
        <w:tab/>
      </w:r>
      <w:r w:rsidRPr="00224F04">
        <w:rPr>
          <w:spacing w:val="-3"/>
        </w:rPr>
        <w:tab/>
      </w:r>
      <w:r w:rsidRPr="00224F04">
        <w:rPr>
          <w:spacing w:val="-3"/>
        </w:rPr>
        <w:tab/>
      </w:r>
      <w:r w:rsidRPr="00224F04">
        <w:rPr>
          <w:spacing w:val="-3"/>
        </w:rPr>
        <w:tab/>
      </w:r>
      <w:r w:rsidRPr="00224F04">
        <w:rPr>
          <w:spacing w:val="-3"/>
        </w:rPr>
        <w:tab/>
      </w:r>
      <w:r w:rsidRPr="00224F04">
        <w:rPr>
          <w:spacing w:val="-3"/>
        </w:rPr>
        <w:tab/>
        <w:t>____________________________</w:t>
      </w:r>
      <w:r>
        <w:rPr>
          <w:spacing w:val="-3"/>
        </w:rPr>
        <w:t>______</w:t>
      </w:r>
    </w:p>
    <w:p w14:paraId="2D77CD89" w14:textId="77777777" w:rsidR="003047C4" w:rsidRDefault="00845A52" w:rsidP="003047C4">
      <w:pPr>
        <w:tabs>
          <w:tab w:val="left" w:pos="3960"/>
        </w:tabs>
        <w:rPr>
          <w:spacing w:val="-3"/>
        </w:rPr>
      </w:pPr>
      <w:r w:rsidRPr="00224F04">
        <w:rPr>
          <w:spacing w:val="-3"/>
        </w:rPr>
        <w:tab/>
        <w:t>Steven J. Hewitson</w:t>
      </w:r>
      <w:r w:rsidRPr="00224F04">
        <w:rPr>
          <w:spacing w:val="-3"/>
        </w:rPr>
        <w:tab/>
      </w:r>
    </w:p>
    <w:p w14:paraId="557A5D69" w14:textId="77777777" w:rsidR="003047C4" w:rsidRDefault="003047C4" w:rsidP="003047C4">
      <w:pPr>
        <w:tabs>
          <w:tab w:val="left" w:pos="3960"/>
        </w:tabs>
        <w:rPr>
          <w:spacing w:val="-3"/>
        </w:rPr>
      </w:pPr>
      <w:r>
        <w:rPr>
          <w:spacing w:val="-3"/>
        </w:rPr>
        <w:tab/>
      </w:r>
      <w:r w:rsidR="00845A52" w:rsidRPr="00224F04">
        <w:rPr>
          <w:spacing w:val="-3"/>
        </w:rPr>
        <w:t>Allison W. Pryor</w:t>
      </w:r>
      <w:r w:rsidR="00845A52" w:rsidRPr="00224F04">
        <w:rPr>
          <w:spacing w:val="-3"/>
        </w:rPr>
        <w:tab/>
      </w:r>
    </w:p>
    <w:p w14:paraId="6D6C64D1" w14:textId="525E740A" w:rsidR="00845A52" w:rsidRPr="00224F04" w:rsidRDefault="003047C4" w:rsidP="003047C4">
      <w:pPr>
        <w:tabs>
          <w:tab w:val="left" w:pos="3960"/>
        </w:tabs>
        <w:rPr>
          <w:spacing w:val="-3"/>
        </w:rPr>
      </w:pPr>
      <w:r>
        <w:rPr>
          <w:spacing w:val="-3"/>
        </w:rPr>
        <w:tab/>
      </w:r>
      <w:r w:rsidR="00845A52" w:rsidRPr="00224F04">
        <w:rPr>
          <w:spacing w:val="-3"/>
        </w:rPr>
        <w:t>Matthew C. Daigle</w:t>
      </w:r>
    </w:p>
    <w:p w14:paraId="7264987D" w14:textId="77777777" w:rsidR="00845A52" w:rsidRDefault="00845A52" w:rsidP="003047C4">
      <w:pPr>
        <w:tabs>
          <w:tab w:val="left" w:pos="3960"/>
        </w:tabs>
        <w:rPr>
          <w:spacing w:val="-3"/>
        </w:rPr>
      </w:pPr>
      <w:r w:rsidRPr="00224F04">
        <w:rPr>
          <w:spacing w:val="-3"/>
        </w:rPr>
        <w:tab/>
      </w:r>
    </w:p>
    <w:p w14:paraId="183AE946" w14:textId="77777777" w:rsidR="00845A52" w:rsidRPr="00224F04" w:rsidRDefault="00845A52" w:rsidP="003047C4">
      <w:pPr>
        <w:tabs>
          <w:tab w:val="left" w:pos="3960"/>
        </w:tabs>
      </w:pPr>
      <w:r>
        <w:rPr>
          <w:spacing w:val="-3"/>
        </w:rPr>
        <w:tab/>
      </w:r>
      <w:r w:rsidRPr="00224F04">
        <w:rPr>
          <w:spacing w:val="-3"/>
        </w:rPr>
        <w:t>Attorneys for</w:t>
      </w:r>
      <w:r>
        <w:rPr>
          <w:spacing w:val="-3"/>
        </w:rPr>
        <w:t xml:space="preserve"> G</w:t>
      </w:r>
      <w:r w:rsidRPr="00224F04">
        <w:rPr>
          <w:spacing w:val="-3"/>
        </w:rPr>
        <w:t>eorgia Power Company</w:t>
      </w:r>
    </w:p>
    <w:p w14:paraId="2713F1A1" w14:textId="77777777" w:rsidR="00845A52" w:rsidRDefault="00845A52" w:rsidP="003047C4">
      <w:pPr>
        <w:keepNext/>
        <w:keepLines/>
        <w:tabs>
          <w:tab w:val="left" w:pos="-720"/>
          <w:tab w:val="left" w:pos="3960"/>
        </w:tabs>
        <w:suppressAutoHyphens/>
        <w:rPr>
          <w:smallCaps/>
          <w:spacing w:val="-3"/>
        </w:rPr>
      </w:pPr>
    </w:p>
    <w:p w14:paraId="4329871A" w14:textId="77777777" w:rsidR="00845A52" w:rsidRPr="00F469A3" w:rsidRDefault="00845A52" w:rsidP="003047C4">
      <w:pPr>
        <w:keepNext/>
        <w:keepLines/>
        <w:tabs>
          <w:tab w:val="left" w:pos="-720"/>
          <w:tab w:val="left" w:pos="3960"/>
        </w:tabs>
        <w:suppressAutoHyphens/>
        <w:rPr>
          <w:b/>
          <w:bCs/>
          <w:smallCaps/>
          <w:spacing w:val="-3"/>
        </w:rPr>
      </w:pPr>
      <w:r>
        <w:rPr>
          <w:smallCaps/>
          <w:spacing w:val="-3"/>
        </w:rPr>
        <w:tab/>
      </w:r>
      <w:r w:rsidRPr="00F469A3">
        <w:rPr>
          <w:b/>
          <w:bCs/>
          <w:smallCaps/>
          <w:spacing w:val="-3"/>
        </w:rPr>
        <w:t xml:space="preserve">TROUTMAN PEPPER </w:t>
      </w:r>
      <w:r>
        <w:rPr>
          <w:b/>
          <w:bCs/>
          <w:smallCaps/>
          <w:spacing w:val="-3"/>
        </w:rPr>
        <w:t>LOCKE</w:t>
      </w:r>
      <w:r w:rsidRPr="00F469A3">
        <w:rPr>
          <w:b/>
          <w:bCs/>
          <w:smallCaps/>
          <w:spacing w:val="-3"/>
        </w:rPr>
        <w:t xml:space="preserve"> LLP</w:t>
      </w:r>
    </w:p>
    <w:p w14:paraId="0513343A" w14:textId="77777777" w:rsidR="003047C4" w:rsidRDefault="00845A52" w:rsidP="003047C4">
      <w:pPr>
        <w:keepNext/>
        <w:keepLines/>
        <w:tabs>
          <w:tab w:val="left" w:pos="-720"/>
          <w:tab w:val="left" w:pos="3960"/>
        </w:tabs>
        <w:suppressAutoHyphens/>
        <w:rPr>
          <w:spacing w:val="-3"/>
        </w:rPr>
      </w:pPr>
      <w:r>
        <w:rPr>
          <w:spacing w:val="-3"/>
        </w:rPr>
        <w:tab/>
      </w:r>
      <w:r w:rsidRPr="00224F04">
        <w:rPr>
          <w:spacing w:val="-3"/>
        </w:rPr>
        <w:t xml:space="preserve">Bank of </w:t>
      </w:r>
      <w:smartTag w:uri="urn:schemas-microsoft-com:office:smarttags" w:element="PlaceName">
        <w:r w:rsidRPr="00224F04">
          <w:rPr>
            <w:spacing w:val="-3"/>
          </w:rPr>
          <w:t>America</w:t>
        </w:r>
      </w:smartTag>
      <w:r w:rsidRPr="00224F04">
        <w:rPr>
          <w:spacing w:val="-3"/>
        </w:rPr>
        <w:t xml:space="preserve"> Plaza</w:t>
      </w:r>
      <w:r>
        <w:rPr>
          <w:spacing w:val="-3"/>
        </w:rPr>
        <w:tab/>
      </w:r>
    </w:p>
    <w:p w14:paraId="66231C77" w14:textId="123E5D97" w:rsidR="003047C4" w:rsidRDefault="003047C4" w:rsidP="003047C4">
      <w:pPr>
        <w:keepNext/>
        <w:keepLines/>
        <w:tabs>
          <w:tab w:val="left" w:pos="-720"/>
          <w:tab w:val="left" w:pos="3960"/>
        </w:tabs>
        <w:suppressAutoHyphens/>
        <w:rPr>
          <w:spacing w:val="-3"/>
        </w:rPr>
      </w:pPr>
      <w:r>
        <w:rPr>
          <w:spacing w:val="-3"/>
        </w:rPr>
        <w:tab/>
      </w:r>
      <w:r w:rsidR="00845A52" w:rsidRPr="00224F04">
        <w:rPr>
          <w:spacing w:val="-3"/>
        </w:rPr>
        <w:t>600 Peachtree Street, N.E., Suite 3</w:t>
      </w:r>
      <w:r w:rsidR="007B4BB7">
        <w:rPr>
          <w:spacing w:val="-3"/>
        </w:rPr>
        <w:t>0</w:t>
      </w:r>
      <w:r w:rsidR="00845A52" w:rsidRPr="00224F04">
        <w:rPr>
          <w:spacing w:val="-3"/>
        </w:rPr>
        <w:t>00</w:t>
      </w:r>
      <w:r w:rsidR="00845A52">
        <w:rPr>
          <w:spacing w:val="-3"/>
        </w:rPr>
        <w:tab/>
      </w:r>
    </w:p>
    <w:p w14:paraId="080D8FA3" w14:textId="6C07F6F1" w:rsidR="00845A52" w:rsidRPr="00224F04" w:rsidRDefault="003047C4" w:rsidP="003047C4">
      <w:pPr>
        <w:keepNext/>
        <w:keepLines/>
        <w:tabs>
          <w:tab w:val="left" w:pos="-720"/>
          <w:tab w:val="left" w:pos="3960"/>
        </w:tabs>
        <w:suppressAutoHyphens/>
        <w:rPr>
          <w:spacing w:val="-3"/>
        </w:rPr>
      </w:pPr>
      <w:r>
        <w:rPr>
          <w:spacing w:val="-3"/>
        </w:rPr>
        <w:tab/>
      </w:r>
      <w:r w:rsidR="00845A52" w:rsidRPr="00224F04">
        <w:rPr>
          <w:spacing w:val="-3"/>
        </w:rPr>
        <w:t>Atlanta, Georgia 30308-2216</w:t>
      </w:r>
    </w:p>
    <w:p w14:paraId="0B4C102C" w14:textId="77777777" w:rsidR="00845A52" w:rsidRPr="003869A7" w:rsidRDefault="00845A52" w:rsidP="003047C4">
      <w:pPr>
        <w:keepNext/>
        <w:keepLines/>
        <w:tabs>
          <w:tab w:val="left" w:pos="-720"/>
          <w:tab w:val="left" w:pos="3960"/>
        </w:tabs>
        <w:suppressAutoHyphens/>
      </w:pPr>
      <w:r>
        <w:rPr>
          <w:spacing w:val="-3"/>
        </w:rPr>
        <w:tab/>
      </w:r>
      <w:r w:rsidRPr="00224F04">
        <w:rPr>
          <w:spacing w:val="-3"/>
        </w:rPr>
        <w:t>(404) 885-3000</w:t>
      </w:r>
    </w:p>
    <w:p w14:paraId="37A247CC" w14:textId="77777777" w:rsidR="003C5632" w:rsidRDefault="003C5632" w:rsidP="003047C4">
      <w:pPr>
        <w:rPr>
          <w:spacing w:val="-3"/>
        </w:rPr>
      </w:pPr>
    </w:p>
    <w:p w14:paraId="0407709E" w14:textId="5B9DE19F" w:rsidR="003C5632" w:rsidRPr="003869A7" w:rsidRDefault="003C5632" w:rsidP="00CE0B35"/>
    <w:sectPr w:rsidR="003C5632" w:rsidRPr="003869A7">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0C3B0" w14:textId="77777777" w:rsidR="0006464E" w:rsidRDefault="0006464E" w:rsidP="004A3DBE">
      <w:r>
        <w:separator/>
      </w:r>
    </w:p>
  </w:endnote>
  <w:endnote w:type="continuationSeparator" w:id="0">
    <w:p w14:paraId="4FDDAF0D" w14:textId="77777777" w:rsidR="0006464E" w:rsidRDefault="0006464E" w:rsidP="004A3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B884D" w14:textId="77777777" w:rsidR="00E7695A" w:rsidRDefault="00E769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8892470"/>
      <w:docPartObj>
        <w:docPartGallery w:val="Page Numbers (Bottom of Page)"/>
        <w:docPartUnique/>
      </w:docPartObj>
    </w:sdtPr>
    <w:sdtEndPr>
      <w:rPr>
        <w:noProof/>
        <w:sz w:val="20"/>
        <w:szCs w:val="20"/>
      </w:rPr>
    </w:sdtEndPr>
    <w:sdtContent>
      <w:p w14:paraId="6D92C1B1" w14:textId="77777777" w:rsidR="000E3A88" w:rsidRDefault="000E3A88" w:rsidP="00CE0B35">
        <w:pPr>
          <w:pStyle w:val="Footer"/>
          <w:jc w:val="center"/>
        </w:pPr>
      </w:p>
      <w:p w14:paraId="5CAAEDAD" w14:textId="18722218" w:rsidR="00CE0B35" w:rsidRPr="005A0E6A" w:rsidRDefault="00CE0B35" w:rsidP="00CE0B35">
        <w:pPr>
          <w:pStyle w:val="Footer"/>
          <w:jc w:val="center"/>
          <w:rPr>
            <w:sz w:val="20"/>
            <w:szCs w:val="20"/>
          </w:rPr>
        </w:pPr>
        <w:r w:rsidRPr="005A0E6A">
          <w:rPr>
            <w:sz w:val="20"/>
            <w:szCs w:val="20"/>
          </w:rPr>
          <w:t>City of Cartersville v. Georgia Power Company, Docket No. 55973</w:t>
        </w:r>
      </w:p>
      <w:p w14:paraId="246CE156" w14:textId="76501A4A" w:rsidR="00CE0B35" w:rsidRPr="005A0E6A" w:rsidRDefault="00CE0B35" w:rsidP="00CE0B35">
        <w:pPr>
          <w:pStyle w:val="Footer"/>
          <w:jc w:val="center"/>
          <w:rPr>
            <w:sz w:val="20"/>
            <w:szCs w:val="20"/>
          </w:rPr>
        </w:pPr>
        <w:r w:rsidRPr="00405F21">
          <w:rPr>
            <w:sz w:val="20"/>
            <w:szCs w:val="20"/>
          </w:rPr>
          <w:t>Georgia Power Company</w:t>
        </w:r>
        <w:r w:rsidR="00AE6791">
          <w:rPr>
            <w:sz w:val="20"/>
            <w:szCs w:val="20"/>
          </w:rPr>
          <w:t>’</w:t>
        </w:r>
        <w:r w:rsidRPr="00405F21">
          <w:rPr>
            <w:sz w:val="20"/>
            <w:szCs w:val="20"/>
          </w:rPr>
          <w:t xml:space="preserve">s Reply </w:t>
        </w:r>
        <w:r w:rsidR="00C0603F">
          <w:rPr>
            <w:sz w:val="20"/>
            <w:szCs w:val="20"/>
          </w:rPr>
          <w:t>in Support of Summary Judgment</w:t>
        </w:r>
        <w:r w:rsidRPr="00405F21">
          <w:rPr>
            <w:sz w:val="20"/>
            <w:szCs w:val="20"/>
          </w:rPr>
          <w:t xml:space="preserve"> </w:t>
        </w:r>
      </w:p>
      <w:p w14:paraId="45615F5F" w14:textId="5509EF3F" w:rsidR="002833C6" w:rsidRDefault="00CE0B35" w:rsidP="00AE7C4E">
        <w:pPr>
          <w:pStyle w:val="Footer"/>
          <w:jc w:val="center"/>
          <w:rPr>
            <w:noProof/>
            <w:sz w:val="20"/>
            <w:szCs w:val="20"/>
          </w:rPr>
        </w:pPr>
        <w:r w:rsidRPr="005A0E6A">
          <w:rPr>
            <w:sz w:val="20"/>
            <w:szCs w:val="20"/>
          </w:rPr>
          <w:t xml:space="preserve">Page </w:t>
        </w:r>
        <w:r w:rsidRPr="005A0E6A">
          <w:rPr>
            <w:sz w:val="20"/>
            <w:szCs w:val="20"/>
          </w:rPr>
          <w:fldChar w:fldCharType="begin"/>
        </w:r>
        <w:r w:rsidRPr="005A0E6A">
          <w:rPr>
            <w:sz w:val="20"/>
            <w:szCs w:val="20"/>
          </w:rPr>
          <w:instrText xml:space="preserve"> PAGE   \* MERGEFORMAT </w:instrText>
        </w:r>
        <w:r w:rsidRPr="005A0E6A">
          <w:rPr>
            <w:sz w:val="20"/>
            <w:szCs w:val="20"/>
          </w:rPr>
          <w:fldChar w:fldCharType="separate"/>
        </w:r>
        <w:r>
          <w:rPr>
            <w:sz w:val="20"/>
            <w:szCs w:val="20"/>
          </w:rPr>
          <w:t>6</w:t>
        </w:r>
        <w:r w:rsidRPr="005A0E6A">
          <w:rPr>
            <w:noProof/>
            <w:sz w:val="20"/>
            <w:szCs w:val="20"/>
          </w:rPr>
          <w:fldChar w:fldCharType="end"/>
        </w:r>
        <w:r w:rsidRPr="005A0E6A">
          <w:rPr>
            <w:noProof/>
            <w:sz w:val="20"/>
            <w:szCs w:val="20"/>
          </w:rPr>
          <w:t xml:space="preserve"> of </w:t>
        </w:r>
        <w:r w:rsidR="00C701DE">
          <w:rPr>
            <w:noProof/>
            <w:sz w:val="20"/>
            <w:szCs w:val="20"/>
          </w:rPr>
          <w:t>8</w:t>
        </w:r>
      </w:p>
    </w:sdtContent>
  </w:sdt>
  <w:p w14:paraId="052BEB73" w14:textId="5CC10BE8" w:rsidR="009E43ED" w:rsidRDefault="009E43ED" w:rsidP="002833C6">
    <w:pPr>
      <w:pStyle w:val="Footer"/>
      <w:rPr>
        <w:noProof/>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7D2D7" w14:textId="77777777" w:rsidR="00E7695A" w:rsidRDefault="00E769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E6349" w14:textId="77777777" w:rsidR="0006464E" w:rsidRDefault="0006464E" w:rsidP="004A3DBE">
      <w:r>
        <w:separator/>
      </w:r>
    </w:p>
  </w:footnote>
  <w:footnote w:type="continuationSeparator" w:id="0">
    <w:p w14:paraId="1C9B4E74" w14:textId="77777777" w:rsidR="0006464E" w:rsidRDefault="0006464E" w:rsidP="004A3DBE">
      <w:r>
        <w:continuationSeparator/>
      </w:r>
    </w:p>
  </w:footnote>
  <w:footnote w:id="1">
    <w:p w14:paraId="6105340C" w14:textId="77777777" w:rsidR="009F5A77" w:rsidRDefault="002A10AF" w:rsidP="004F7FE4">
      <w:pPr>
        <w:pStyle w:val="FootnoteText"/>
        <w:keepNext/>
        <w:keepLines/>
        <w:spacing w:after="0"/>
        <w:ind w:firstLine="0"/>
        <w:jc w:val="both"/>
      </w:pPr>
      <w:r>
        <w:rPr>
          <w:rStyle w:val="FootnoteReference"/>
        </w:rPr>
        <w:footnoteRef/>
      </w:r>
      <w:r>
        <w:t xml:space="preserve"> </w:t>
      </w:r>
      <w:r w:rsidR="009F5A77">
        <w:t>The significant changes include:</w:t>
      </w:r>
    </w:p>
    <w:p w14:paraId="409D3CB7" w14:textId="3DC925C4" w:rsidR="009F5A77" w:rsidRPr="009F5A77" w:rsidRDefault="008E658D" w:rsidP="004F7FE4">
      <w:pPr>
        <w:pStyle w:val="FootnoteText"/>
        <w:keepNext/>
        <w:keepLines/>
        <w:spacing w:after="0"/>
        <w:ind w:left="720" w:right="720" w:firstLine="0"/>
        <w:jc w:val="both"/>
      </w:pPr>
      <w:r>
        <w:t>t</w:t>
      </w:r>
      <w:r w:rsidR="009F5A77" w:rsidRPr="009F5A77">
        <w:t>hat Nestle removed and replaced the electrical system and infrastructure; removed and replaced 30 percent of the flooring and foundation in its food processing area; removed concrete slabs in the old weave room; changed the foundation in the old bleachery by filling the old vats with concrete and the old pits with ballast, structural steel, and concrete; removed the roof above the old bleachery, the old tank building, and some of the distribution center; demolished the old filter press</w:t>
      </w:r>
      <w:r w:rsidR="00AE6791">
        <w:t>’</w:t>
      </w:r>
      <w:r w:rsidR="009F5A77" w:rsidRPr="009F5A77">
        <w:t xml:space="preserve"> structural piers; demolished and removed the old air washing pits; and demolished the old crane system. Nestle Purina has swallowed up the old ventilation tunnels; some interior and exterior walls; and replaced the old air plenum where the new office space sits. Additionally, Nestle Purina demolished interior walls, made openings in other walls, and is enclosing some exterior walls with a new building.</w:t>
      </w:r>
    </w:p>
    <w:p w14:paraId="60BF8F04" w14:textId="2FDE6AF0" w:rsidR="00AE7C4E" w:rsidRDefault="002A10AF" w:rsidP="00964CF3">
      <w:pPr>
        <w:pStyle w:val="FootnoteText"/>
        <w:spacing w:after="0"/>
        <w:ind w:firstLine="0"/>
        <w:jc w:val="both"/>
      </w:pPr>
      <w:r w:rsidRPr="002A10AF">
        <w:rPr>
          <w:i/>
          <w:iCs/>
        </w:rPr>
        <w:t>Walton</w:t>
      </w:r>
      <w:r>
        <w:rPr>
          <w:i/>
          <w:iCs/>
        </w:rPr>
        <w:t xml:space="preserve"> EMC</w:t>
      </w:r>
      <w:r>
        <w:t xml:space="preserve"> at</w:t>
      </w:r>
      <w:r w:rsidR="00AD0E5A">
        <w:t xml:space="preserve"> 742</w:t>
      </w:r>
      <w:r>
        <w:t>.</w:t>
      </w:r>
    </w:p>
  </w:footnote>
  <w:footnote w:id="2">
    <w:p w14:paraId="0B051042" w14:textId="25473890" w:rsidR="0010004F" w:rsidRPr="0010004F" w:rsidRDefault="0010004F" w:rsidP="00964CF3">
      <w:pPr>
        <w:pStyle w:val="FootnoteText"/>
        <w:ind w:firstLine="0"/>
        <w:jc w:val="both"/>
      </w:pPr>
      <w:r>
        <w:rPr>
          <w:rStyle w:val="FootnoteReference"/>
        </w:rPr>
        <w:footnoteRef/>
      </w:r>
      <w:r>
        <w:t xml:space="preserve"> </w:t>
      </w:r>
      <w:r>
        <w:rPr>
          <w:i/>
          <w:iCs/>
        </w:rPr>
        <w:t>Id</w:t>
      </w:r>
      <w:r>
        <w:t>. at 753</w:t>
      </w:r>
      <w:r w:rsidR="006D4B0E">
        <w:t>. (Emphasis added.)</w:t>
      </w:r>
    </w:p>
  </w:footnote>
  <w:footnote w:id="3">
    <w:p w14:paraId="3150E852" w14:textId="1A892430" w:rsidR="001E3C65" w:rsidRPr="00455B64" w:rsidRDefault="001E3C65" w:rsidP="00D83BF2">
      <w:pPr>
        <w:pStyle w:val="FootnoteText"/>
        <w:ind w:firstLine="0"/>
      </w:pPr>
      <w:r>
        <w:rPr>
          <w:rStyle w:val="FootnoteReference"/>
        </w:rPr>
        <w:footnoteRef/>
      </w:r>
      <w:r>
        <w:t xml:space="preserve"> </w:t>
      </w:r>
      <w:r w:rsidRPr="001E3C65">
        <w:t xml:space="preserve">Neither the statute nor </w:t>
      </w:r>
      <w:r w:rsidRPr="001E3C65">
        <w:rPr>
          <w:i/>
          <w:iCs/>
        </w:rPr>
        <w:t xml:space="preserve">Walton </w:t>
      </w:r>
      <w:r>
        <w:t xml:space="preserve">identifies </w:t>
      </w:r>
      <w:r w:rsidRPr="001E3C65">
        <w:t xml:space="preserve">cost as a relevant factor when considering whether a premises has been destroyed or dismantled. However, to the extent the </w:t>
      </w:r>
      <w:r w:rsidRPr="001E3C65">
        <w:rPr>
          <w:i/>
          <w:iCs/>
        </w:rPr>
        <w:t xml:space="preserve">Walton </w:t>
      </w:r>
      <w:r>
        <w:t xml:space="preserve">decision </w:t>
      </w:r>
      <w:r w:rsidRPr="001E3C65">
        <w:t>mention</w:t>
      </w:r>
      <w:r>
        <w:t>s</w:t>
      </w:r>
      <w:r w:rsidRPr="001E3C65">
        <w:t xml:space="preserve"> </w:t>
      </w:r>
      <w:r>
        <w:t>that “</w:t>
      </w:r>
      <w:r w:rsidRPr="001E3C65">
        <w:t>Nestle</w:t>
      </w:r>
      <w:r>
        <w:t xml:space="preserve"> spent</w:t>
      </w:r>
      <w:r w:rsidRPr="001E3C65">
        <w:t xml:space="preserve"> $300 million (nearly 43 times the purchase price) chang</w:t>
      </w:r>
      <w:r>
        <w:t>ing</w:t>
      </w:r>
      <w:r w:rsidRPr="001E3C65">
        <w:t xml:space="preserve"> the structure </w:t>
      </w:r>
      <w:r>
        <w:t xml:space="preserve">and design of the previous facility” </w:t>
      </w:r>
      <w:r w:rsidRPr="001E3C65">
        <w:t>bears any relevance, it dwarfs Atkore’s $2 million expenditure, a mere 5% of the purchase price.</w:t>
      </w:r>
      <w:r>
        <w:t xml:space="preserve"> </w:t>
      </w:r>
      <w:r w:rsidR="00455B64">
        <w:rPr>
          <w:i/>
          <w:iCs/>
        </w:rPr>
        <w:t>Walton EMC</w:t>
      </w:r>
      <w:r w:rsidR="00455B64">
        <w:t xml:space="preserve">, 320 Ga. at </w:t>
      </w:r>
      <w:r w:rsidR="00A969B7">
        <w:t>752</w:t>
      </w:r>
      <w:r w:rsidR="00455B64">
        <w:t>.</w:t>
      </w:r>
    </w:p>
  </w:footnote>
  <w:footnote w:id="4">
    <w:p w14:paraId="5138631B" w14:textId="5A768C8C" w:rsidR="00EB08D8" w:rsidRDefault="00EB08D8" w:rsidP="00964CF3">
      <w:pPr>
        <w:pStyle w:val="FootnoteText"/>
        <w:spacing w:after="0"/>
        <w:ind w:firstLine="0"/>
        <w:jc w:val="both"/>
      </w:pPr>
      <w:r>
        <w:rPr>
          <w:rStyle w:val="FootnoteReference"/>
        </w:rPr>
        <w:footnoteRef/>
      </w:r>
      <w:r>
        <w:t xml:space="preserve"> </w:t>
      </w:r>
      <w:r w:rsidRPr="009D4D35">
        <w:rPr>
          <w:i/>
          <w:iCs/>
        </w:rPr>
        <w:t>Cent. Georgia Elec. Membership Corp. v. Pub. Serv. Comm</w:t>
      </w:r>
      <w:r w:rsidR="00AE6791">
        <w:rPr>
          <w:i/>
          <w:iCs/>
        </w:rPr>
        <w:t>’</w:t>
      </w:r>
      <w:r w:rsidRPr="009D4D35">
        <w:rPr>
          <w:i/>
          <w:iCs/>
        </w:rPr>
        <w:t>n</w:t>
      </w:r>
      <w:r w:rsidRPr="009D4D35">
        <w:t>, 351 Ga. App. 69 (2019)</w:t>
      </w:r>
      <w:r>
        <w:t>.</w:t>
      </w:r>
    </w:p>
  </w:footnote>
  <w:footnote w:id="5">
    <w:p w14:paraId="77ED33D4" w14:textId="198982DC" w:rsidR="004F252B" w:rsidRDefault="004F252B" w:rsidP="00964CF3">
      <w:pPr>
        <w:pStyle w:val="FootnoteText"/>
        <w:spacing w:after="0"/>
        <w:ind w:firstLine="0"/>
        <w:jc w:val="both"/>
      </w:pPr>
      <w:r>
        <w:rPr>
          <w:rStyle w:val="FootnoteReference"/>
        </w:rPr>
        <w:footnoteRef/>
      </w:r>
      <w:r>
        <w:t xml:space="preserve"> </w:t>
      </w:r>
      <w:r w:rsidR="00EB08D8" w:rsidRPr="00EB08D8">
        <w:rPr>
          <w:i/>
          <w:iCs/>
        </w:rPr>
        <w:t>Id</w:t>
      </w:r>
      <w:r w:rsidR="00EB08D8">
        <w:t>.</w:t>
      </w:r>
    </w:p>
  </w:footnote>
  <w:footnote w:id="6">
    <w:p w14:paraId="6A9949EE" w14:textId="18E4B695" w:rsidR="009D4D35" w:rsidRDefault="009D4D35" w:rsidP="00964CF3">
      <w:pPr>
        <w:pStyle w:val="FootnoteText"/>
        <w:spacing w:after="0"/>
        <w:ind w:firstLine="0"/>
        <w:jc w:val="both"/>
      </w:pPr>
      <w:r>
        <w:rPr>
          <w:rStyle w:val="FootnoteReference"/>
        </w:rPr>
        <w:footnoteRef/>
      </w:r>
      <w:r>
        <w:t xml:space="preserve"> </w:t>
      </w:r>
      <w:r w:rsidR="004F252B" w:rsidRPr="004F252B">
        <w:rPr>
          <w:i/>
          <w:iCs/>
        </w:rPr>
        <w:t>Id</w:t>
      </w:r>
      <w:r w:rsidR="004F252B">
        <w:t>.</w:t>
      </w:r>
    </w:p>
  </w:footnote>
  <w:footnote w:id="7">
    <w:p w14:paraId="398CBE40" w14:textId="35D15A0D" w:rsidR="00574EA3" w:rsidRDefault="00574EA3" w:rsidP="00964CF3">
      <w:pPr>
        <w:pStyle w:val="FootnoteText"/>
        <w:spacing w:after="0"/>
        <w:ind w:firstLine="0"/>
        <w:jc w:val="both"/>
      </w:pPr>
      <w:r>
        <w:rPr>
          <w:rStyle w:val="FootnoteReference"/>
        </w:rPr>
        <w:footnoteRef/>
      </w:r>
      <w:r>
        <w:t xml:space="preserve"> </w:t>
      </w:r>
      <w:r w:rsidRPr="005736CF">
        <w:rPr>
          <w:i/>
          <w:iCs/>
        </w:rPr>
        <w:t>Georgia Power Co. v. Carroll EMC</w:t>
      </w:r>
      <w:r w:rsidRPr="005736CF">
        <w:t>, Docket No. 10517- U (Initial Decision</w:t>
      </w:r>
      <w:r>
        <w:t>,</w:t>
      </w:r>
      <w:r w:rsidRPr="005736CF">
        <w:t xml:space="preserve"> </w:t>
      </w:r>
      <w:r>
        <w:t>Oct.</w:t>
      </w:r>
      <w:r w:rsidRPr="005736CF">
        <w:t xml:space="preserve"> 5, 2000)</w:t>
      </w:r>
      <w:r>
        <w:t>.</w:t>
      </w:r>
    </w:p>
  </w:footnote>
  <w:footnote w:id="8">
    <w:p w14:paraId="794A597E" w14:textId="222A5DE6" w:rsidR="000761C0" w:rsidRPr="00574EA3" w:rsidRDefault="000761C0" w:rsidP="00964CF3">
      <w:pPr>
        <w:pStyle w:val="FootnoteText"/>
        <w:spacing w:after="0"/>
        <w:ind w:firstLine="0"/>
        <w:jc w:val="both"/>
      </w:pPr>
      <w:r>
        <w:rPr>
          <w:rStyle w:val="FootnoteReference"/>
        </w:rPr>
        <w:footnoteRef/>
      </w:r>
      <w:r>
        <w:t xml:space="preserve"> </w:t>
      </w:r>
      <w:r w:rsidR="00574EA3">
        <w:rPr>
          <w:i/>
          <w:iCs/>
        </w:rPr>
        <w:t xml:space="preserve">Id. </w:t>
      </w:r>
      <w:r w:rsidR="00574EA3">
        <w:t>at 16-17.</w:t>
      </w:r>
    </w:p>
  </w:footnote>
  <w:footnote w:id="9">
    <w:p w14:paraId="63B045A9" w14:textId="3B786337" w:rsidR="005736CF" w:rsidRDefault="005736CF" w:rsidP="00964CF3">
      <w:pPr>
        <w:pStyle w:val="FootnoteText"/>
        <w:spacing w:after="0"/>
        <w:ind w:firstLine="0"/>
        <w:jc w:val="both"/>
      </w:pPr>
      <w:r>
        <w:rPr>
          <w:rStyle w:val="FootnoteReference"/>
        </w:rPr>
        <w:footnoteRef/>
      </w:r>
      <w:r>
        <w:t xml:space="preserve"> </w:t>
      </w:r>
      <w:r w:rsidRPr="005736CF">
        <w:rPr>
          <w:i/>
          <w:iCs/>
        </w:rPr>
        <w:t>Id</w:t>
      </w:r>
      <w:r>
        <w:t>. at 17</w:t>
      </w:r>
      <w:r w:rsidR="00574EA3">
        <w:t>.</w:t>
      </w:r>
    </w:p>
  </w:footnote>
  <w:footnote w:id="10">
    <w:p w14:paraId="401A99D7" w14:textId="00366837" w:rsidR="00296EDC" w:rsidRDefault="00296EDC" w:rsidP="00964CF3">
      <w:pPr>
        <w:pStyle w:val="FootnoteText"/>
        <w:spacing w:after="0"/>
        <w:ind w:firstLine="0"/>
        <w:jc w:val="both"/>
      </w:pPr>
      <w:r>
        <w:rPr>
          <w:rStyle w:val="FootnoteReference"/>
        </w:rPr>
        <w:footnoteRef/>
      </w:r>
      <w:r>
        <w:t xml:space="preserve"> </w:t>
      </w:r>
      <w:r w:rsidRPr="00296EDC">
        <w:rPr>
          <w:i/>
          <w:iCs/>
        </w:rPr>
        <w:t>Sawnee Elec. Membership Corp. v. Georgia Pub. Serv. Comm</w:t>
      </w:r>
      <w:r w:rsidR="00AE6791">
        <w:rPr>
          <w:i/>
          <w:iCs/>
        </w:rPr>
        <w:t>’</w:t>
      </w:r>
      <w:r w:rsidRPr="00296EDC">
        <w:rPr>
          <w:i/>
          <w:iCs/>
        </w:rPr>
        <w:t>n</w:t>
      </w:r>
      <w:r w:rsidRPr="00296EDC">
        <w:t>, 273 Ga. 702, 706 (2001)</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50EA4" w14:textId="77777777" w:rsidR="00E7695A" w:rsidRDefault="00E769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F03A6" w14:textId="77777777" w:rsidR="00E7695A" w:rsidRDefault="00E769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89C3D" w14:textId="77777777" w:rsidR="00E7695A" w:rsidRDefault="00E769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AC90A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AF42BC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EDABF6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2ACD0C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6249F0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3D6E88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DAA788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EA4F25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374C7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58C90A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A2063"/>
    <w:multiLevelType w:val="hybridMultilevel"/>
    <w:tmpl w:val="64EE6EB2"/>
    <w:lvl w:ilvl="0" w:tplc="84845A1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550E82"/>
    <w:multiLevelType w:val="multilevel"/>
    <w:tmpl w:val="A8985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680056F"/>
    <w:multiLevelType w:val="multilevel"/>
    <w:tmpl w:val="300E1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B306293"/>
    <w:multiLevelType w:val="multilevel"/>
    <w:tmpl w:val="D3A2A5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130858"/>
    <w:multiLevelType w:val="hybridMultilevel"/>
    <w:tmpl w:val="7CD69C52"/>
    <w:lvl w:ilvl="0" w:tplc="84845A1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73684B"/>
    <w:multiLevelType w:val="hybridMultilevel"/>
    <w:tmpl w:val="C2FCC2A4"/>
    <w:lvl w:ilvl="0" w:tplc="84845A1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E027A1"/>
    <w:multiLevelType w:val="multilevel"/>
    <w:tmpl w:val="17B85C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FF4931"/>
    <w:multiLevelType w:val="multilevel"/>
    <w:tmpl w:val="44749A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6D91763"/>
    <w:multiLevelType w:val="multilevel"/>
    <w:tmpl w:val="AC42D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715181C"/>
    <w:multiLevelType w:val="hybridMultilevel"/>
    <w:tmpl w:val="B68CB1E0"/>
    <w:lvl w:ilvl="0" w:tplc="84845A1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0F3178"/>
    <w:multiLevelType w:val="hybridMultilevel"/>
    <w:tmpl w:val="327AB904"/>
    <w:lvl w:ilvl="0" w:tplc="98CE9284">
      <w:start w:val="1"/>
      <w:numFmt w:val="upperLetter"/>
      <w:lvlText w:val="%1."/>
      <w:lvlJc w:val="left"/>
      <w:pPr>
        <w:ind w:left="720" w:hanging="360"/>
      </w:pPr>
      <w:rPr>
        <w:rFonts w:hint="default"/>
        <w:b/>
      </w:rPr>
    </w:lvl>
    <w:lvl w:ilvl="1" w:tplc="1C08AB3C">
      <w:start w:val="5"/>
      <w:numFmt w:val="bullet"/>
      <w:lvlText w:val="•"/>
      <w:lvlJc w:val="left"/>
      <w:pPr>
        <w:ind w:left="1440" w:hanging="360"/>
      </w:pPr>
      <w:rPr>
        <w:rFonts w:ascii="Times New Roman" w:eastAsiaTheme="minorHAnsi" w:hAnsi="Times New Roman" w:cs="Times New Roman" w:hint="default"/>
      </w:rPr>
    </w:lvl>
    <w:lvl w:ilvl="2" w:tplc="458CA2C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3C7578"/>
    <w:multiLevelType w:val="hybridMultilevel"/>
    <w:tmpl w:val="AC502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C537EC"/>
    <w:multiLevelType w:val="multilevel"/>
    <w:tmpl w:val="196A55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5B7152"/>
    <w:multiLevelType w:val="hybridMultilevel"/>
    <w:tmpl w:val="2D5A3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C153A3"/>
    <w:multiLevelType w:val="multilevel"/>
    <w:tmpl w:val="C03E8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A34254A"/>
    <w:multiLevelType w:val="hybridMultilevel"/>
    <w:tmpl w:val="B3ECFCD8"/>
    <w:lvl w:ilvl="0" w:tplc="5888F5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550724"/>
    <w:multiLevelType w:val="multilevel"/>
    <w:tmpl w:val="55843A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3A57571F"/>
    <w:multiLevelType w:val="multilevel"/>
    <w:tmpl w:val="F2822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CFC4A79"/>
    <w:multiLevelType w:val="multilevel"/>
    <w:tmpl w:val="B498E3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DFE023B"/>
    <w:multiLevelType w:val="multilevel"/>
    <w:tmpl w:val="7D5A57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EF61251"/>
    <w:multiLevelType w:val="multilevel"/>
    <w:tmpl w:val="AE7C68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3BE1290"/>
    <w:multiLevelType w:val="multilevel"/>
    <w:tmpl w:val="9CCCC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6027307"/>
    <w:multiLevelType w:val="hybridMultilevel"/>
    <w:tmpl w:val="E0942B8C"/>
    <w:lvl w:ilvl="0" w:tplc="84845A1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1C0844"/>
    <w:multiLevelType w:val="hybridMultilevel"/>
    <w:tmpl w:val="95D22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CD0403"/>
    <w:multiLevelType w:val="hybridMultilevel"/>
    <w:tmpl w:val="0E3C9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DD3F81"/>
    <w:multiLevelType w:val="multilevel"/>
    <w:tmpl w:val="0428C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746918"/>
    <w:multiLevelType w:val="hybridMultilevel"/>
    <w:tmpl w:val="6B24BFE6"/>
    <w:lvl w:ilvl="0" w:tplc="03E25C5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F5D4CF5"/>
    <w:multiLevelType w:val="multilevel"/>
    <w:tmpl w:val="0FFE03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07B1CD1"/>
    <w:multiLevelType w:val="hybridMultilevel"/>
    <w:tmpl w:val="53C4F6B6"/>
    <w:lvl w:ilvl="0" w:tplc="84845A1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C66485"/>
    <w:multiLevelType w:val="multilevel"/>
    <w:tmpl w:val="19B22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3AC1460"/>
    <w:multiLevelType w:val="multilevel"/>
    <w:tmpl w:val="DC684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55779EC"/>
    <w:multiLevelType w:val="hybridMultilevel"/>
    <w:tmpl w:val="3468D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37571D"/>
    <w:multiLevelType w:val="multilevel"/>
    <w:tmpl w:val="9948DB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968112C"/>
    <w:multiLevelType w:val="hybridMultilevel"/>
    <w:tmpl w:val="E96C6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F703A1"/>
    <w:multiLevelType w:val="multilevel"/>
    <w:tmpl w:val="B2584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2AD189B"/>
    <w:multiLevelType w:val="hybridMultilevel"/>
    <w:tmpl w:val="19924EA2"/>
    <w:lvl w:ilvl="0" w:tplc="0B7C041C">
      <w:start w:val="1"/>
      <w:numFmt w:val="decimal"/>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4D0508"/>
    <w:multiLevelType w:val="multilevel"/>
    <w:tmpl w:val="42C4A3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5422965"/>
    <w:multiLevelType w:val="multilevel"/>
    <w:tmpl w:val="731C75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92008A2"/>
    <w:multiLevelType w:val="multilevel"/>
    <w:tmpl w:val="DA06B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A706244"/>
    <w:multiLevelType w:val="multilevel"/>
    <w:tmpl w:val="2E025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758211560">
    <w:abstractNumId w:val="34"/>
  </w:num>
  <w:num w:numId="2" w16cid:durableId="326907865">
    <w:abstractNumId w:val="21"/>
  </w:num>
  <w:num w:numId="3" w16cid:durableId="996111821">
    <w:abstractNumId w:val="45"/>
  </w:num>
  <w:num w:numId="4" w16cid:durableId="195314399">
    <w:abstractNumId w:val="9"/>
  </w:num>
  <w:num w:numId="5" w16cid:durableId="1243637939">
    <w:abstractNumId w:val="7"/>
  </w:num>
  <w:num w:numId="6" w16cid:durableId="799148899">
    <w:abstractNumId w:val="6"/>
  </w:num>
  <w:num w:numId="7" w16cid:durableId="1804695251">
    <w:abstractNumId w:val="5"/>
  </w:num>
  <w:num w:numId="8" w16cid:durableId="681512937">
    <w:abstractNumId w:val="4"/>
  </w:num>
  <w:num w:numId="9" w16cid:durableId="1491631689">
    <w:abstractNumId w:val="8"/>
  </w:num>
  <w:num w:numId="10" w16cid:durableId="1934851715">
    <w:abstractNumId w:val="3"/>
  </w:num>
  <w:num w:numId="11" w16cid:durableId="269431982">
    <w:abstractNumId w:val="2"/>
  </w:num>
  <w:num w:numId="12" w16cid:durableId="1522166703">
    <w:abstractNumId w:val="1"/>
  </w:num>
  <w:num w:numId="13" w16cid:durableId="410081633">
    <w:abstractNumId w:val="0"/>
  </w:num>
  <w:num w:numId="14" w16cid:durableId="789782674">
    <w:abstractNumId w:val="46"/>
  </w:num>
  <w:num w:numId="15" w16cid:durableId="53897625">
    <w:abstractNumId w:val="28"/>
  </w:num>
  <w:num w:numId="16" w16cid:durableId="1872182567">
    <w:abstractNumId w:val="31"/>
  </w:num>
  <w:num w:numId="17" w16cid:durableId="686904596">
    <w:abstractNumId w:val="42"/>
  </w:num>
  <w:num w:numId="18" w16cid:durableId="1621453934">
    <w:abstractNumId w:val="11"/>
  </w:num>
  <w:num w:numId="19" w16cid:durableId="2032801769">
    <w:abstractNumId w:val="47"/>
  </w:num>
  <w:num w:numId="20" w16cid:durableId="430315794">
    <w:abstractNumId w:val="39"/>
  </w:num>
  <w:num w:numId="21" w16cid:durableId="2092040780">
    <w:abstractNumId w:val="13"/>
  </w:num>
  <w:num w:numId="22" w16cid:durableId="1450708963">
    <w:abstractNumId w:val="40"/>
  </w:num>
  <w:num w:numId="23" w16cid:durableId="1725642121">
    <w:abstractNumId w:val="12"/>
  </w:num>
  <w:num w:numId="24" w16cid:durableId="1149325019">
    <w:abstractNumId w:val="37"/>
  </w:num>
  <w:num w:numId="25" w16cid:durableId="1121530181">
    <w:abstractNumId w:val="18"/>
  </w:num>
  <w:num w:numId="26" w16cid:durableId="994993340">
    <w:abstractNumId w:val="48"/>
  </w:num>
  <w:num w:numId="27" w16cid:durableId="1146507429">
    <w:abstractNumId w:val="24"/>
  </w:num>
  <w:num w:numId="28" w16cid:durableId="1441148525">
    <w:abstractNumId w:val="30"/>
  </w:num>
  <w:num w:numId="29" w16cid:durableId="646936215">
    <w:abstractNumId w:val="16"/>
  </w:num>
  <w:num w:numId="30" w16cid:durableId="849182458">
    <w:abstractNumId w:val="44"/>
  </w:num>
  <w:num w:numId="31" w16cid:durableId="1658221730">
    <w:abstractNumId w:val="29"/>
  </w:num>
  <w:num w:numId="32" w16cid:durableId="281034117">
    <w:abstractNumId w:val="22"/>
  </w:num>
  <w:num w:numId="33" w16cid:durableId="1617565428">
    <w:abstractNumId w:val="27"/>
  </w:num>
  <w:num w:numId="34" w16cid:durableId="220025140">
    <w:abstractNumId w:val="49"/>
  </w:num>
  <w:num w:numId="35" w16cid:durableId="2118283340">
    <w:abstractNumId w:val="35"/>
  </w:num>
  <w:num w:numId="36" w16cid:durableId="1116020299">
    <w:abstractNumId w:val="41"/>
  </w:num>
  <w:num w:numId="37" w16cid:durableId="1790468584">
    <w:abstractNumId w:val="20"/>
  </w:num>
  <w:num w:numId="38" w16cid:durableId="1589774150">
    <w:abstractNumId w:val="25"/>
  </w:num>
  <w:num w:numId="39" w16cid:durableId="201134382">
    <w:abstractNumId w:val="33"/>
  </w:num>
  <w:num w:numId="40" w16cid:durableId="1608122876">
    <w:abstractNumId w:val="19"/>
  </w:num>
  <w:num w:numId="41" w16cid:durableId="1341423147">
    <w:abstractNumId w:val="15"/>
  </w:num>
  <w:num w:numId="42" w16cid:durableId="545726895">
    <w:abstractNumId w:val="32"/>
  </w:num>
  <w:num w:numId="43" w16cid:durableId="408120424">
    <w:abstractNumId w:val="14"/>
  </w:num>
  <w:num w:numId="44" w16cid:durableId="448092441">
    <w:abstractNumId w:val="38"/>
  </w:num>
  <w:num w:numId="45" w16cid:durableId="721562456">
    <w:abstractNumId w:val="10"/>
  </w:num>
  <w:num w:numId="46" w16cid:durableId="1856308112">
    <w:abstractNumId w:val="43"/>
  </w:num>
  <w:num w:numId="47" w16cid:durableId="1122580211">
    <w:abstractNumId w:val="23"/>
  </w:num>
  <w:num w:numId="48" w16cid:durableId="351032563">
    <w:abstractNumId w:val="17"/>
  </w:num>
  <w:num w:numId="49" w16cid:durableId="7032146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6126136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WDocIDLayout" w:val="2"/>
    <w:docVar w:name="SWDocIDLocation" w:val="1"/>
  </w:docVars>
  <w:rsids>
    <w:rsidRoot w:val="00893ADB"/>
    <w:rsid w:val="000256BD"/>
    <w:rsid w:val="00037DF8"/>
    <w:rsid w:val="00044B19"/>
    <w:rsid w:val="000460A1"/>
    <w:rsid w:val="000576E3"/>
    <w:rsid w:val="0006464E"/>
    <w:rsid w:val="0006782A"/>
    <w:rsid w:val="000761C0"/>
    <w:rsid w:val="00080991"/>
    <w:rsid w:val="00091639"/>
    <w:rsid w:val="000A0CF1"/>
    <w:rsid w:val="000B219C"/>
    <w:rsid w:val="000C2E99"/>
    <w:rsid w:val="000E3A88"/>
    <w:rsid w:val="0010004F"/>
    <w:rsid w:val="0010602C"/>
    <w:rsid w:val="00106136"/>
    <w:rsid w:val="001079CA"/>
    <w:rsid w:val="00121F9F"/>
    <w:rsid w:val="00145F1B"/>
    <w:rsid w:val="00170C48"/>
    <w:rsid w:val="0017425D"/>
    <w:rsid w:val="001750EA"/>
    <w:rsid w:val="00192FDA"/>
    <w:rsid w:val="001A16F4"/>
    <w:rsid w:val="001A2B1C"/>
    <w:rsid w:val="001B0EFF"/>
    <w:rsid w:val="001B7D66"/>
    <w:rsid w:val="001C15A7"/>
    <w:rsid w:val="001E3C65"/>
    <w:rsid w:val="001F3131"/>
    <w:rsid w:val="001F3F49"/>
    <w:rsid w:val="00215547"/>
    <w:rsid w:val="002833C6"/>
    <w:rsid w:val="00296EDC"/>
    <w:rsid w:val="002A10AF"/>
    <w:rsid w:val="002A2D96"/>
    <w:rsid w:val="002C42B1"/>
    <w:rsid w:val="002C58A6"/>
    <w:rsid w:val="002F1562"/>
    <w:rsid w:val="003047C4"/>
    <w:rsid w:val="00313AAF"/>
    <w:rsid w:val="00317EDC"/>
    <w:rsid w:val="0033187D"/>
    <w:rsid w:val="0034106C"/>
    <w:rsid w:val="003440A8"/>
    <w:rsid w:val="00351F63"/>
    <w:rsid w:val="00361325"/>
    <w:rsid w:val="00363C19"/>
    <w:rsid w:val="00370D83"/>
    <w:rsid w:val="003745B6"/>
    <w:rsid w:val="00374C39"/>
    <w:rsid w:val="003869A7"/>
    <w:rsid w:val="003A2135"/>
    <w:rsid w:val="003A2D23"/>
    <w:rsid w:val="003B1A9E"/>
    <w:rsid w:val="003C5632"/>
    <w:rsid w:val="003C7F3A"/>
    <w:rsid w:val="00405F21"/>
    <w:rsid w:val="00415AF0"/>
    <w:rsid w:val="00422A6F"/>
    <w:rsid w:val="004330DB"/>
    <w:rsid w:val="00451FDB"/>
    <w:rsid w:val="00455B64"/>
    <w:rsid w:val="00456270"/>
    <w:rsid w:val="00470840"/>
    <w:rsid w:val="00474057"/>
    <w:rsid w:val="0047541F"/>
    <w:rsid w:val="0049134C"/>
    <w:rsid w:val="004A3DBE"/>
    <w:rsid w:val="004C41A6"/>
    <w:rsid w:val="004D3DF3"/>
    <w:rsid w:val="004D4526"/>
    <w:rsid w:val="004D4F65"/>
    <w:rsid w:val="004F252B"/>
    <w:rsid w:val="004F368B"/>
    <w:rsid w:val="004F7FE4"/>
    <w:rsid w:val="0050262F"/>
    <w:rsid w:val="005123B8"/>
    <w:rsid w:val="00512788"/>
    <w:rsid w:val="00515CA0"/>
    <w:rsid w:val="00537419"/>
    <w:rsid w:val="00544B16"/>
    <w:rsid w:val="00561462"/>
    <w:rsid w:val="005632B6"/>
    <w:rsid w:val="0056394E"/>
    <w:rsid w:val="005736CF"/>
    <w:rsid w:val="00574EA3"/>
    <w:rsid w:val="00583EBC"/>
    <w:rsid w:val="00590FA4"/>
    <w:rsid w:val="005940B1"/>
    <w:rsid w:val="005A0067"/>
    <w:rsid w:val="005A1E09"/>
    <w:rsid w:val="005A7F7D"/>
    <w:rsid w:val="005D0C81"/>
    <w:rsid w:val="005D6A96"/>
    <w:rsid w:val="005E0A53"/>
    <w:rsid w:val="00625AB6"/>
    <w:rsid w:val="00626325"/>
    <w:rsid w:val="00656D7A"/>
    <w:rsid w:val="0066381F"/>
    <w:rsid w:val="00667843"/>
    <w:rsid w:val="00672CA0"/>
    <w:rsid w:val="0068040E"/>
    <w:rsid w:val="00690200"/>
    <w:rsid w:val="00693F12"/>
    <w:rsid w:val="006A25A3"/>
    <w:rsid w:val="006B37C8"/>
    <w:rsid w:val="006D4B0E"/>
    <w:rsid w:val="006E4744"/>
    <w:rsid w:val="006F4DD2"/>
    <w:rsid w:val="007000FF"/>
    <w:rsid w:val="00705DCD"/>
    <w:rsid w:val="0071203D"/>
    <w:rsid w:val="00714EC0"/>
    <w:rsid w:val="007214CE"/>
    <w:rsid w:val="00730362"/>
    <w:rsid w:val="00740FF9"/>
    <w:rsid w:val="00746899"/>
    <w:rsid w:val="00746A5B"/>
    <w:rsid w:val="00757757"/>
    <w:rsid w:val="00762A5A"/>
    <w:rsid w:val="00784AAC"/>
    <w:rsid w:val="007901D2"/>
    <w:rsid w:val="00795F73"/>
    <w:rsid w:val="00796F12"/>
    <w:rsid w:val="007A2F1C"/>
    <w:rsid w:val="007B22FC"/>
    <w:rsid w:val="007B4BB7"/>
    <w:rsid w:val="007B772D"/>
    <w:rsid w:val="007D17D2"/>
    <w:rsid w:val="007D4108"/>
    <w:rsid w:val="007E46D4"/>
    <w:rsid w:val="007F0880"/>
    <w:rsid w:val="00801F93"/>
    <w:rsid w:val="00811454"/>
    <w:rsid w:val="0083378B"/>
    <w:rsid w:val="00845A52"/>
    <w:rsid w:val="0085217E"/>
    <w:rsid w:val="0085244B"/>
    <w:rsid w:val="00863066"/>
    <w:rsid w:val="00893ADB"/>
    <w:rsid w:val="008C0F23"/>
    <w:rsid w:val="008C129E"/>
    <w:rsid w:val="008E64AB"/>
    <w:rsid w:val="008E658D"/>
    <w:rsid w:val="00900306"/>
    <w:rsid w:val="00910856"/>
    <w:rsid w:val="00913F3E"/>
    <w:rsid w:val="0093092C"/>
    <w:rsid w:val="00954FE5"/>
    <w:rsid w:val="00962636"/>
    <w:rsid w:val="00964CF3"/>
    <w:rsid w:val="00967109"/>
    <w:rsid w:val="00985154"/>
    <w:rsid w:val="009871B3"/>
    <w:rsid w:val="0099526E"/>
    <w:rsid w:val="009A26BB"/>
    <w:rsid w:val="009C1312"/>
    <w:rsid w:val="009C7810"/>
    <w:rsid w:val="009D4D35"/>
    <w:rsid w:val="009E43ED"/>
    <w:rsid w:val="009F5A77"/>
    <w:rsid w:val="00A42C44"/>
    <w:rsid w:val="00A4501E"/>
    <w:rsid w:val="00A54ACC"/>
    <w:rsid w:val="00A57145"/>
    <w:rsid w:val="00A619AE"/>
    <w:rsid w:val="00A624FC"/>
    <w:rsid w:val="00A811F9"/>
    <w:rsid w:val="00A82C1E"/>
    <w:rsid w:val="00A8331D"/>
    <w:rsid w:val="00A92D59"/>
    <w:rsid w:val="00A9492A"/>
    <w:rsid w:val="00A969B7"/>
    <w:rsid w:val="00AA436A"/>
    <w:rsid w:val="00AA53FF"/>
    <w:rsid w:val="00AB4BC5"/>
    <w:rsid w:val="00AC16F3"/>
    <w:rsid w:val="00AD0E5A"/>
    <w:rsid w:val="00AD6156"/>
    <w:rsid w:val="00AE6791"/>
    <w:rsid w:val="00AE7C4E"/>
    <w:rsid w:val="00B05FFF"/>
    <w:rsid w:val="00B11EE0"/>
    <w:rsid w:val="00B14269"/>
    <w:rsid w:val="00B306F8"/>
    <w:rsid w:val="00B3262D"/>
    <w:rsid w:val="00B36965"/>
    <w:rsid w:val="00B477F9"/>
    <w:rsid w:val="00B61880"/>
    <w:rsid w:val="00B6267D"/>
    <w:rsid w:val="00B743DD"/>
    <w:rsid w:val="00B80313"/>
    <w:rsid w:val="00B831BF"/>
    <w:rsid w:val="00B94934"/>
    <w:rsid w:val="00B972E8"/>
    <w:rsid w:val="00BB536C"/>
    <w:rsid w:val="00BB77D5"/>
    <w:rsid w:val="00BF3449"/>
    <w:rsid w:val="00BF60E7"/>
    <w:rsid w:val="00C0603F"/>
    <w:rsid w:val="00C06240"/>
    <w:rsid w:val="00C106D2"/>
    <w:rsid w:val="00C27D4C"/>
    <w:rsid w:val="00C41DA8"/>
    <w:rsid w:val="00C4555B"/>
    <w:rsid w:val="00C701DE"/>
    <w:rsid w:val="00C84813"/>
    <w:rsid w:val="00C86590"/>
    <w:rsid w:val="00C9261E"/>
    <w:rsid w:val="00CA4ED3"/>
    <w:rsid w:val="00CA50B0"/>
    <w:rsid w:val="00CB7E21"/>
    <w:rsid w:val="00CD5295"/>
    <w:rsid w:val="00CE0B35"/>
    <w:rsid w:val="00CF3625"/>
    <w:rsid w:val="00D16087"/>
    <w:rsid w:val="00D63C5A"/>
    <w:rsid w:val="00D72DAC"/>
    <w:rsid w:val="00D83BF2"/>
    <w:rsid w:val="00D92279"/>
    <w:rsid w:val="00DB5BFF"/>
    <w:rsid w:val="00DC0E79"/>
    <w:rsid w:val="00DC4ADA"/>
    <w:rsid w:val="00DD3FCF"/>
    <w:rsid w:val="00DE62AF"/>
    <w:rsid w:val="00DF64E0"/>
    <w:rsid w:val="00E067AA"/>
    <w:rsid w:val="00E16028"/>
    <w:rsid w:val="00E17E01"/>
    <w:rsid w:val="00E31E35"/>
    <w:rsid w:val="00E44253"/>
    <w:rsid w:val="00E450B7"/>
    <w:rsid w:val="00E53128"/>
    <w:rsid w:val="00E560EF"/>
    <w:rsid w:val="00E7695A"/>
    <w:rsid w:val="00E81FF5"/>
    <w:rsid w:val="00EB08D8"/>
    <w:rsid w:val="00EE1BE7"/>
    <w:rsid w:val="00EE4877"/>
    <w:rsid w:val="00F2508A"/>
    <w:rsid w:val="00F41A59"/>
    <w:rsid w:val="00F773D3"/>
    <w:rsid w:val="00F77E2D"/>
    <w:rsid w:val="00F820AE"/>
    <w:rsid w:val="00F87AD8"/>
    <w:rsid w:val="00F97CB5"/>
    <w:rsid w:val="00FA7DF6"/>
    <w:rsid w:val="00FB7E48"/>
    <w:rsid w:val="00FC0474"/>
    <w:rsid w:val="00FC0CE4"/>
    <w:rsid w:val="00FC12F2"/>
    <w:rsid w:val="00FC1ABF"/>
    <w:rsid w:val="00FF0C7D"/>
    <w:rsid w:val="00FF29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hapeDefaults>
    <o:shapedefaults v:ext="edit" spidmax="2050"/>
    <o:shapelayout v:ext="edit">
      <o:idmap v:ext="edit" data="2"/>
    </o:shapelayout>
  </w:shapeDefaults>
  <w:decimalSymbol w:val="."/>
  <w:listSeparator w:val=","/>
  <w14:docId w14:val="799ACE05"/>
  <w15:chartTrackingRefBased/>
  <w15:docId w15:val="{C9A59F99-743E-4FF2-9681-56131E2F6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qFormat="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FDA"/>
    <w:rPr>
      <w:rFonts w:ascii="Times New Roman" w:eastAsia="Times New Roman" w:hAnsi="Times New Roman" w:cs="Times New Roman"/>
    </w:rPr>
  </w:style>
  <w:style w:type="paragraph" w:styleId="Heading1">
    <w:name w:val="heading 1"/>
    <w:basedOn w:val="Normal"/>
    <w:next w:val="Normal"/>
    <w:link w:val="Heading1Char"/>
    <w:uiPriority w:val="9"/>
    <w:qFormat/>
    <w:rsid w:val="00667843"/>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next w:val="Normal"/>
    <w:link w:val="Heading2Char"/>
    <w:uiPriority w:val="9"/>
    <w:semiHidden/>
    <w:unhideWhenUsed/>
    <w:qFormat/>
    <w:rsid w:val="00667843"/>
    <w:pPr>
      <w:keepNext/>
      <w:keepLines/>
      <w:spacing w:before="40"/>
      <w:outlineLvl w:val="1"/>
    </w:pPr>
    <w:rPr>
      <w:rFonts w:asciiTheme="majorHAnsi" w:eastAsiaTheme="majorEastAsia" w:hAnsiTheme="majorHAnsi" w:cstheme="majorBidi"/>
      <w:color w:val="0F4761" w:themeColor="accent1" w:themeShade="BF"/>
      <w:sz w:val="26"/>
      <w:szCs w:val="26"/>
    </w:rPr>
  </w:style>
  <w:style w:type="paragraph" w:styleId="Heading3">
    <w:name w:val="heading 3"/>
    <w:basedOn w:val="Normal"/>
    <w:next w:val="Normal"/>
    <w:link w:val="Heading3Char"/>
    <w:uiPriority w:val="9"/>
    <w:semiHidden/>
    <w:unhideWhenUsed/>
    <w:qFormat/>
    <w:rsid w:val="00667843"/>
    <w:pPr>
      <w:keepNext/>
      <w:keepLines/>
      <w:spacing w:before="40"/>
      <w:outlineLvl w:val="2"/>
    </w:pPr>
    <w:rPr>
      <w:rFonts w:asciiTheme="majorHAnsi" w:eastAsiaTheme="majorEastAsia" w:hAnsiTheme="majorHAnsi" w:cstheme="majorBidi"/>
      <w:color w:val="0A2F40" w:themeColor="accent1" w:themeShade="7F"/>
    </w:rPr>
  </w:style>
  <w:style w:type="paragraph" w:styleId="Heading4">
    <w:name w:val="heading 4"/>
    <w:basedOn w:val="Normal"/>
    <w:next w:val="Normal"/>
    <w:link w:val="Heading4Char"/>
    <w:uiPriority w:val="9"/>
    <w:semiHidden/>
    <w:unhideWhenUsed/>
    <w:qFormat/>
    <w:rsid w:val="00667843"/>
    <w:pPr>
      <w:keepNext/>
      <w:keepLines/>
      <w:spacing w:before="40"/>
      <w:outlineLvl w:val="3"/>
    </w:pPr>
    <w:rPr>
      <w:rFonts w:asciiTheme="majorHAnsi" w:eastAsiaTheme="majorEastAsia" w:hAnsiTheme="maj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67843"/>
    <w:pPr>
      <w:keepNext/>
      <w:keepLines/>
      <w:spacing w:before="4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667843"/>
    <w:pPr>
      <w:keepNext/>
      <w:keepLines/>
      <w:spacing w:before="4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667843"/>
    <w:pPr>
      <w:keepNext/>
      <w:keepLines/>
      <w:spacing w:before="4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66784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6784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qFormat/>
    <w:rsid w:val="003A2D23"/>
    <w:pPr>
      <w:spacing w:after="240"/>
      <w:ind w:left="1440" w:right="1440"/>
    </w:pPr>
    <w:rPr>
      <w:rFonts w:eastAsia="Calibri"/>
    </w:rPr>
  </w:style>
  <w:style w:type="paragraph" w:styleId="BodyText">
    <w:name w:val="Body Text"/>
    <w:basedOn w:val="Normal"/>
    <w:link w:val="BodyTextChar"/>
    <w:rsid w:val="003A2D23"/>
    <w:pPr>
      <w:spacing w:after="240"/>
    </w:pPr>
    <w:rPr>
      <w:rFonts w:eastAsia="Calibri"/>
      <w:szCs w:val="20"/>
    </w:rPr>
  </w:style>
  <w:style w:type="character" w:customStyle="1" w:styleId="BodyTextChar">
    <w:name w:val="Body Text Char"/>
    <w:basedOn w:val="DefaultParagraphFont"/>
    <w:link w:val="BodyText"/>
    <w:rsid w:val="003A2D23"/>
    <w:rPr>
      <w:rFonts w:ascii="Times New Roman" w:eastAsia="Calibri" w:hAnsi="Times New Roman" w:cs="Times New Roman"/>
      <w:szCs w:val="20"/>
    </w:rPr>
  </w:style>
  <w:style w:type="paragraph" w:customStyle="1" w:styleId="BodyTextFirstIndent10">
    <w:name w:val="Body Text First Indent (1.0)"/>
    <w:basedOn w:val="Normal"/>
    <w:qFormat/>
    <w:rsid w:val="0066381F"/>
    <w:pPr>
      <w:spacing w:after="240"/>
      <w:ind w:firstLine="1440"/>
    </w:pPr>
    <w:rPr>
      <w:rFonts w:cs="Arial"/>
      <w:szCs w:val="22"/>
    </w:rPr>
  </w:style>
  <w:style w:type="paragraph" w:styleId="ListParagraph">
    <w:name w:val="List Paragraph"/>
    <w:basedOn w:val="Normal"/>
    <w:uiPriority w:val="34"/>
    <w:qFormat/>
    <w:rsid w:val="00470840"/>
    <w:pPr>
      <w:ind w:left="720"/>
      <w:contextualSpacing/>
    </w:pPr>
  </w:style>
  <w:style w:type="paragraph" w:customStyle="1" w:styleId="BodyTextFirstIndentds">
    <w:name w:val="Body Text First Indent ds"/>
    <w:basedOn w:val="Normal"/>
    <w:qFormat/>
    <w:rsid w:val="00C106D2"/>
    <w:pPr>
      <w:spacing w:line="480" w:lineRule="auto"/>
      <w:ind w:firstLine="720"/>
    </w:pPr>
    <w:rPr>
      <w:rFonts w:cs="Arial"/>
      <w:szCs w:val="22"/>
    </w:rPr>
  </w:style>
  <w:style w:type="paragraph" w:customStyle="1" w:styleId="BodyTextFirstIndent15">
    <w:name w:val="Body Text First Indent (1.5)"/>
    <w:basedOn w:val="Normal"/>
    <w:qFormat/>
    <w:rsid w:val="0066381F"/>
    <w:pPr>
      <w:spacing w:after="240"/>
      <w:ind w:firstLine="2160"/>
    </w:pPr>
  </w:style>
  <w:style w:type="paragraph" w:styleId="BodyTextFirstIndent">
    <w:name w:val="Body Text First Indent"/>
    <w:basedOn w:val="Normal"/>
    <w:link w:val="BodyTextFirstIndentChar"/>
    <w:qFormat/>
    <w:rsid w:val="00FC0CE4"/>
    <w:pPr>
      <w:spacing w:after="240"/>
      <w:ind w:firstLine="720"/>
    </w:pPr>
    <w:rPr>
      <w:rFonts w:eastAsia="Calibri"/>
      <w:szCs w:val="20"/>
    </w:rPr>
  </w:style>
  <w:style w:type="character" w:customStyle="1" w:styleId="BodyTextFirstIndentChar">
    <w:name w:val="Body Text First Indent Char"/>
    <w:basedOn w:val="BodyTextChar"/>
    <w:link w:val="BodyTextFirstIndent"/>
    <w:rsid w:val="00FC0CE4"/>
    <w:rPr>
      <w:rFonts w:ascii="Times New Roman" w:eastAsia="Calibri" w:hAnsi="Times New Roman" w:cs="Times New Roman"/>
      <w:szCs w:val="20"/>
    </w:rPr>
  </w:style>
  <w:style w:type="paragraph" w:customStyle="1" w:styleId="BodyTextds">
    <w:name w:val="Body Text ds"/>
    <w:basedOn w:val="Normal"/>
    <w:qFormat/>
    <w:rsid w:val="00CB7E21"/>
    <w:pPr>
      <w:spacing w:line="480" w:lineRule="auto"/>
    </w:pPr>
  </w:style>
  <w:style w:type="paragraph" w:styleId="BodyTextIndent">
    <w:name w:val="Body Text Indent"/>
    <w:basedOn w:val="Normal"/>
    <w:link w:val="BodyTextIndentChar"/>
    <w:rsid w:val="00967109"/>
    <w:pPr>
      <w:spacing w:after="240"/>
      <w:ind w:left="720"/>
    </w:pPr>
    <w:rPr>
      <w:rFonts w:eastAsia="Calibri"/>
    </w:rPr>
  </w:style>
  <w:style w:type="character" w:customStyle="1" w:styleId="BodyTextIndentChar">
    <w:name w:val="Body Text Indent Char"/>
    <w:basedOn w:val="DefaultParagraphFont"/>
    <w:link w:val="BodyTextIndent"/>
    <w:rsid w:val="00967109"/>
    <w:rPr>
      <w:rFonts w:ascii="Times New Roman" w:eastAsia="Calibri" w:hAnsi="Times New Roman" w:cs="Times New Roman"/>
    </w:rPr>
  </w:style>
  <w:style w:type="paragraph" w:customStyle="1" w:styleId="BodyTextHangingIndent">
    <w:name w:val="Body Text Hanging Indent"/>
    <w:basedOn w:val="Normal"/>
    <w:qFormat/>
    <w:rsid w:val="003A2D23"/>
    <w:pPr>
      <w:spacing w:after="240"/>
      <w:ind w:left="720" w:hanging="720"/>
    </w:pPr>
    <w:rPr>
      <w:rFonts w:eastAsia="Calibri"/>
    </w:rPr>
  </w:style>
  <w:style w:type="paragraph" w:customStyle="1" w:styleId="BodyTextIndent10">
    <w:name w:val="Body Text Indent (1.0)"/>
    <w:basedOn w:val="Normal"/>
    <w:qFormat/>
    <w:rsid w:val="00967109"/>
    <w:pPr>
      <w:spacing w:after="240"/>
      <w:ind w:left="1440"/>
    </w:pPr>
  </w:style>
  <w:style w:type="paragraph" w:styleId="Footer">
    <w:name w:val="footer"/>
    <w:basedOn w:val="Normal"/>
    <w:link w:val="FooterChar"/>
    <w:rsid w:val="009A26BB"/>
    <w:pPr>
      <w:tabs>
        <w:tab w:val="left" w:pos="4680"/>
        <w:tab w:val="left" w:pos="9000"/>
      </w:tabs>
    </w:pPr>
    <w:rPr>
      <w:rFonts w:eastAsia="Calibri"/>
    </w:rPr>
  </w:style>
  <w:style w:type="character" w:customStyle="1" w:styleId="FooterChar">
    <w:name w:val="Footer Char"/>
    <w:basedOn w:val="DefaultParagraphFont"/>
    <w:link w:val="Footer"/>
    <w:rsid w:val="009A26BB"/>
    <w:rPr>
      <w:rFonts w:ascii="Times New Roman" w:eastAsia="Calibri" w:hAnsi="Times New Roman" w:cs="Times New Roman"/>
    </w:rPr>
  </w:style>
  <w:style w:type="paragraph" w:customStyle="1" w:styleId="Footnote">
    <w:name w:val="Footnote"/>
    <w:basedOn w:val="Normal"/>
    <w:rsid w:val="003A2D23"/>
    <w:rPr>
      <w:rFonts w:eastAsia="Calibri"/>
    </w:rPr>
  </w:style>
  <w:style w:type="character" w:styleId="FootnoteReference">
    <w:name w:val="footnote reference"/>
    <w:rsid w:val="003A2D23"/>
    <w:rPr>
      <w:vertAlign w:val="superscript"/>
    </w:rPr>
  </w:style>
  <w:style w:type="paragraph" w:styleId="FootnoteText">
    <w:name w:val="footnote text"/>
    <w:basedOn w:val="Normal"/>
    <w:link w:val="FootnoteTextChar"/>
    <w:rsid w:val="003A2D23"/>
    <w:pPr>
      <w:spacing w:after="240"/>
      <w:ind w:firstLine="720"/>
    </w:pPr>
    <w:rPr>
      <w:rFonts w:eastAsia="Calibri"/>
      <w:sz w:val="20"/>
      <w:szCs w:val="20"/>
    </w:rPr>
  </w:style>
  <w:style w:type="character" w:customStyle="1" w:styleId="FootnoteTextChar">
    <w:name w:val="Footnote Text Char"/>
    <w:basedOn w:val="DefaultParagraphFont"/>
    <w:link w:val="FootnoteText"/>
    <w:rsid w:val="003A2D23"/>
    <w:rPr>
      <w:rFonts w:ascii="Times New Roman" w:eastAsia="Calibri" w:hAnsi="Times New Roman" w:cs="Times New Roman"/>
      <w:sz w:val="20"/>
      <w:szCs w:val="20"/>
    </w:rPr>
  </w:style>
  <w:style w:type="paragraph" w:styleId="Header">
    <w:name w:val="header"/>
    <w:basedOn w:val="Normal"/>
    <w:link w:val="HeaderChar"/>
    <w:rsid w:val="003A2D23"/>
    <w:pPr>
      <w:tabs>
        <w:tab w:val="right" w:pos="4680"/>
        <w:tab w:val="right" w:pos="8640"/>
      </w:tabs>
    </w:pPr>
    <w:rPr>
      <w:rFonts w:eastAsia="Calibri"/>
    </w:rPr>
  </w:style>
  <w:style w:type="character" w:customStyle="1" w:styleId="HeaderChar">
    <w:name w:val="Header Char"/>
    <w:basedOn w:val="DefaultParagraphFont"/>
    <w:link w:val="Header"/>
    <w:rsid w:val="003A2D23"/>
    <w:rPr>
      <w:rFonts w:ascii="Times New Roman" w:eastAsia="Calibri" w:hAnsi="Times New Roman" w:cs="Times New Roman"/>
    </w:rPr>
  </w:style>
  <w:style w:type="paragraph" w:styleId="Quote">
    <w:name w:val="Quote"/>
    <w:basedOn w:val="Normal"/>
    <w:next w:val="Normal"/>
    <w:link w:val="QuoteChar"/>
    <w:qFormat/>
    <w:rsid w:val="003A2D23"/>
    <w:pPr>
      <w:spacing w:after="240"/>
      <w:ind w:left="1440" w:right="1440"/>
    </w:pPr>
    <w:rPr>
      <w:szCs w:val="20"/>
    </w:rPr>
  </w:style>
  <w:style w:type="character" w:customStyle="1" w:styleId="QuoteChar">
    <w:name w:val="Quote Char"/>
    <w:basedOn w:val="DefaultParagraphFont"/>
    <w:link w:val="Quote"/>
    <w:rsid w:val="003A2D23"/>
    <w:rPr>
      <w:rFonts w:ascii="Times New Roman" w:eastAsia="Times New Roman" w:hAnsi="Times New Roman" w:cs="Times New Roman"/>
      <w:szCs w:val="20"/>
    </w:rPr>
  </w:style>
  <w:style w:type="paragraph" w:customStyle="1" w:styleId="SigBlock">
    <w:name w:val="Sig Block"/>
    <w:basedOn w:val="Normal"/>
    <w:uiPriority w:val="4"/>
    <w:rsid w:val="003A2D23"/>
    <w:pPr>
      <w:spacing w:after="240"/>
      <w:ind w:left="4680"/>
      <w:contextualSpacing/>
    </w:pPr>
  </w:style>
  <w:style w:type="paragraph" w:customStyle="1" w:styleId="SigBlockUnderline">
    <w:name w:val="Sig Block Underline"/>
    <w:basedOn w:val="Normal"/>
    <w:next w:val="SigBlock"/>
    <w:uiPriority w:val="4"/>
    <w:rsid w:val="003A2D23"/>
    <w:pPr>
      <w:tabs>
        <w:tab w:val="right" w:pos="9360"/>
      </w:tabs>
      <w:ind w:left="4680"/>
    </w:pPr>
    <w:rPr>
      <w:u w:val="single"/>
    </w:rPr>
  </w:style>
  <w:style w:type="paragraph" w:styleId="Subtitle">
    <w:name w:val="Subtitle"/>
    <w:basedOn w:val="Normal"/>
    <w:next w:val="BodyTextFirstIndent"/>
    <w:link w:val="SubtitleChar"/>
    <w:qFormat/>
    <w:rsid w:val="003A2D23"/>
    <w:pPr>
      <w:keepNext/>
      <w:spacing w:after="240"/>
      <w:jc w:val="center"/>
    </w:pPr>
    <w:rPr>
      <w:rFonts w:eastAsia="Calibri"/>
      <w:bCs/>
    </w:rPr>
  </w:style>
  <w:style w:type="character" w:customStyle="1" w:styleId="SubtitleChar">
    <w:name w:val="Subtitle Char"/>
    <w:basedOn w:val="DefaultParagraphFont"/>
    <w:link w:val="Subtitle"/>
    <w:rsid w:val="003A2D23"/>
    <w:rPr>
      <w:rFonts w:ascii="Times New Roman" w:eastAsia="Calibri" w:hAnsi="Times New Roman" w:cs="Times New Roman"/>
      <w:bCs/>
    </w:rPr>
  </w:style>
  <w:style w:type="paragraph" w:customStyle="1" w:styleId="Subtitle2">
    <w:name w:val="Subtitle2"/>
    <w:basedOn w:val="Normal"/>
    <w:next w:val="BodyTextFirstIndent"/>
    <w:qFormat/>
    <w:rsid w:val="003A2D23"/>
    <w:pPr>
      <w:keepNext/>
      <w:spacing w:after="240"/>
    </w:pPr>
    <w:rPr>
      <w:rFonts w:eastAsia="Calibri"/>
      <w:u w:val="single"/>
    </w:rPr>
  </w:style>
  <w:style w:type="paragraph" w:customStyle="1" w:styleId="Subtitle3">
    <w:name w:val="Subtitle3"/>
    <w:basedOn w:val="Normal"/>
    <w:next w:val="BodyTextFirstIndent"/>
    <w:rsid w:val="003A2D23"/>
    <w:pPr>
      <w:keepNext/>
      <w:spacing w:after="240"/>
    </w:pPr>
    <w:rPr>
      <w:rFonts w:eastAsia="Calibri"/>
      <w:b/>
    </w:rPr>
  </w:style>
  <w:style w:type="paragraph" w:styleId="Title">
    <w:name w:val="Title"/>
    <w:basedOn w:val="Normal"/>
    <w:next w:val="BodyTextFirstIndent"/>
    <w:link w:val="TitleChar"/>
    <w:qFormat/>
    <w:rsid w:val="003A2D23"/>
    <w:pPr>
      <w:keepNext/>
      <w:spacing w:after="240"/>
      <w:jc w:val="center"/>
    </w:pPr>
    <w:rPr>
      <w:rFonts w:eastAsia="Calibri"/>
      <w:caps/>
    </w:rPr>
  </w:style>
  <w:style w:type="character" w:customStyle="1" w:styleId="TitleChar">
    <w:name w:val="Title Char"/>
    <w:basedOn w:val="DefaultParagraphFont"/>
    <w:link w:val="Title"/>
    <w:rsid w:val="003A2D23"/>
    <w:rPr>
      <w:rFonts w:ascii="Times New Roman" w:eastAsia="Calibri" w:hAnsi="Times New Roman" w:cs="Times New Roman"/>
      <w:caps/>
    </w:rPr>
  </w:style>
  <w:style w:type="paragraph" w:customStyle="1" w:styleId="Title2">
    <w:name w:val="Title2"/>
    <w:basedOn w:val="Normal"/>
    <w:next w:val="BodyTextFirstIndent"/>
    <w:qFormat/>
    <w:rsid w:val="003A2D23"/>
    <w:pPr>
      <w:keepNext/>
      <w:spacing w:after="240"/>
      <w:jc w:val="center"/>
    </w:pPr>
    <w:rPr>
      <w:rFonts w:eastAsia="Calibri"/>
      <w:b/>
      <w:caps/>
    </w:rPr>
  </w:style>
  <w:style w:type="paragraph" w:customStyle="1" w:styleId="TOCHeader">
    <w:name w:val="TOC Header"/>
    <w:basedOn w:val="Normal"/>
    <w:rsid w:val="001A2B1C"/>
    <w:pPr>
      <w:ind w:left="115" w:right="115"/>
      <w:jc w:val="center"/>
    </w:pPr>
    <w:rPr>
      <w:szCs w:val="20"/>
    </w:rPr>
  </w:style>
  <w:style w:type="paragraph" w:styleId="TOC1">
    <w:name w:val="toc 1"/>
    <w:basedOn w:val="Normal"/>
    <w:next w:val="Normal"/>
    <w:autoRedefine/>
    <w:uiPriority w:val="39"/>
    <w:rsid w:val="00B11EE0"/>
    <w:pPr>
      <w:keepLines/>
      <w:tabs>
        <w:tab w:val="right" w:leader="dot" w:pos="9288"/>
      </w:tabs>
      <w:spacing w:before="240"/>
      <w:ind w:left="720" w:right="720" w:hanging="720"/>
    </w:pPr>
    <w:rPr>
      <w:caps/>
      <w:szCs w:val="20"/>
    </w:rPr>
  </w:style>
  <w:style w:type="paragraph" w:styleId="TOC2">
    <w:name w:val="toc 2"/>
    <w:basedOn w:val="Normal"/>
    <w:next w:val="Normal"/>
    <w:autoRedefine/>
    <w:uiPriority w:val="39"/>
    <w:rsid w:val="00B11EE0"/>
    <w:pPr>
      <w:keepLines/>
      <w:tabs>
        <w:tab w:val="right" w:leader="dot" w:pos="9288"/>
      </w:tabs>
      <w:ind w:left="1440" w:right="720" w:hanging="720"/>
    </w:pPr>
    <w:rPr>
      <w:szCs w:val="20"/>
    </w:rPr>
  </w:style>
  <w:style w:type="paragraph" w:styleId="TOC3">
    <w:name w:val="toc 3"/>
    <w:basedOn w:val="Normal"/>
    <w:next w:val="Normal"/>
    <w:autoRedefine/>
    <w:rsid w:val="00B11EE0"/>
    <w:pPr>
      <w:keepLines/>
      <w:tabs>
        <w:tab w:val="right" w:leader="dot" w:pos="9288"/>
      </w:tabs>
      <w:ind w:left="2160" w:right="720" w:hanging="720"/>
    </w:pPr>
    <w:rPr>
      <w:szCs w:val="20"/>
    </w:rPr>
  </w:style>
  <w:style w:type="paragraph" w:styleId="TOC4">
    <w:name w:val="toc 4"/>
    <w:basedOn w:val="Normal"/>
    <w:next w:val="Normal"/>
    <w:autoRedefine/>
    <w:rsid w:val="00B11EE0"/>
    <w:pPr>
      <w:keepLines/>
      <w:tabs>
        <w:tab w:val="right" w:leader="dot" w:pos="9288"/>
      </w:tabs>
      <w:ind w:left="2880" w:right="720" w:hanging="720"/>
    </w:pPr>
    <w:rPr>
      <w:szCs w:val="20"/>
    </w:rPr>
  </w:style>
  <w:style w:type="paragraph" w:styleId="TOC5">
    <w:name w:val="toc 5"/>
    <w:basedOn w:val="Normal"/>
    <w:next w:val="Normal"/>
    <w:autoRedefine/>
    <w:rsid w:val="00B11EE0"/>
    <w:pPr>
      <w:keepLines/>
      <w:tabs>
        <w:tab w:val="right" w:leader="dot" w:pos="9288"/>
      </w:tabs>
      <w:ind w:left="3600" w:right="720" w:hanging="720"/>
    </w:pPr>
    <w:rPr>
      <w:szCs w:val="20"/>
    </w:rPr>
  </w:style>
  <w:style w:type="paragraph" w:styleId="TOC6">
    <w:name w:val="toc 6"/>
    <w:basedOn w:val="Normal"/>
    <w:next w:val="Normal"/>
    <w:autoRedefine/>
    <w:rsid w:val="001A2B1C"/>
    <w:pPr>
      <w:keepLines/>
      <w:tabs>
        <w:tab w:val="right" w:leader="dot" w:pos="9288"/>
      </w:tabs>
      <w:spacing w:after="120"/>
      <w:ind w:left="4320" w:right="720" w:hanging="720"/>
    </w:pPr>
    <w:rPr>
      <w:szCs w:val="20"/>
    </w:rPr>
  </w:style>
  <w:style w:type="paragraph" w:styleId="TOC7">
    <w:name w:val="toc 7"/>
    <w:basedOn w:val="Normal"/>
    <w:next w:val="Normal"/>
    <w:autoRedefine/>
    <w:rsid w:val="001A2B1C"/>
    <w:pPr>
      <w:keepLines/>
      <w:tabs>
        <w:tab w:val="right" w:leader="dot" w:pos="9288"/>
      </w:tabs>
      <w:spacing w:after="120"/>
      <w:ind w:left="5040" w:right="720" w:hanging="720"/>
    </w:pPr>
    <w:rPr>
      <w:szCs w:val="20"/>
    </w:rPr>
  </w:style>
  <w:style w:type="paragraph" w:styleId="TOC8">
    <w:name w:val="toc 8"/>
    <w:basedOn w:val="Normal"/>
    <w:next w:val="Normal"/>
    <w:autoRedefine/>
    <w:rsid w:val="001A2B1C"/>
    <w:pPr>
      <w:keepLines/>
      <w:tabs>
        <w:tab w:val="right" w:leader="dot" w:pos="9288"/>
      </w:tabs>
      <w:spacing w:after="120"/>
      <w:ind w:left="5760" w:right="720" w:hanging="720"/>
    </w:pPr>
    <w:rPr>
      <w:szCs w:val="20"/>
    </w:rPr>
  </w:style>
  <w:style w:type="paragraph" w:styleId="TOC9">
    <w:name w:val="toc 9"/>
    <w:basedOn w:val="Normal"/>
    <w:next w:val="Normal"/>
    <w:autoRedefine/>
    <w:semiHidden/>
    <w:rsid w:val="001A2B1C"/>
    <w:pPr>
      <w:keepLines/>
      <w:tabs>
        <w:tab w:val="right" w:leader="dot" w:pos="9288"/>
      </w:tabs>
      <w:spacing w:after="120"/>
      <w:ind w:left="6480" w:right="720" w:hanging="720"/>
    </w:pPr>
    <w:rPr>
      <w:szCs w:val="20"/>
    </w:rPr>
  </w:style>
  <w:style w:type="table" w:styleId="TableGrid">
    <w:name w:val="Table Grid"/>
    <w:basedOn w:val="TableNormal"/>
    <w:uiPriority w:val="39"/>
    <w:rsid w:val="005940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6784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7843"/>
    <w:rPr>
      <w:rFonts w:ascii="Segoe UI" w:hAnsi="Segoe UI" w:cs="Segoe UI"/>
      <w:sz w:val="18"/>
      <w:szCs w:val="18"/>
    </w:rPr>
  </w:style>
  <w:style w:type="paragraph" w:styleId="Bibliography">
    <w:name w:val="Bibliography"/>
    <w:basedOn w:val="Normal"/>
    <w:next w:val="Normal"/>
    <w:uiPriority w:val="37"/>
    <w:semiHidden/>
    <w:unhideWhenUsed/>
    <w:rsid w:val="00667843"/>
  </w:style>
  <w:style w:type="paragraph" w:styleId="BodyText2">
    <w:name w:val="Body Text 2"/>
    <w:basedOn w:val="Normal"/>
    <w:link w:val="BodyText2Char"/>
    <w:semiHidden/>
    <w:unhideWhenUsed/>
    <w:qFormat/>
    <w:rsid w:val="00667843"/>
    <w:pPr>
      <w:spacing w:after="120" w:line="480" w:lineRule="auto"/>
    </w:pPr>
  </w:style>
  <w:style w:type="character" w:customStyle="1" w:styleId="BodyText2Char">
    <w:name w:val="Body Text 2 Char"/>
    <w:basedOn w:val="DefaultParagraphFont"/>
    <w:link w:val="BodyText2"/>
    <w:semiHidden/>
    <w:rsid w:val="00667843"/>
    <w:rPr>
      <w:rFonts w:ascii="Times New Roman" w:hAnsi="Times New Roman"/>
    </w:rPr>
  </w:style>
  <w:style w:type="paragraph" w:styleId="BodyText3">
    <w:name w:val="Body Text 3"/>
    <w:basedOn w:val="Normal"/>
    <w:link w:val="BodyText3Char"/>
    <w:semiHidden/>
    <w:unhideWhenUsed/>
    <w:qFormat/>
    <w:rsid w:val="00667843"/>
    <w:pPr>
      <w:spacing w:after="120"/>
    </w:pPr>
    <w:rPr>
      <w:sz w:val="16"/>
      <w:szCs w:val="16"/>
    </w:rPr>
  </w:style>
  <w:style w:type="character" w:customStyle="1" w:styleId="BodyText3Char">
    <w:name w:val="Body Text 3 Char"/>
    <w:basedOn w:val="DefaultParagraphFont"/>
    <w:link w:val="BodyText3"/>
    <w:semiHidden/>
    <w:rsid w:val="00667843"/>
    <w:rPr>
      <w:rFonts w:ascii="Times New Roman" w:hAnsi="Times New Roman"/>
      <w:sz w:val="16"/>
      <w:szCs w:val="16"/>
    </w:rPr>
  </w:style>
  <w:style w:type="paragraph" w:styleId="BodyTextFirstIndent2">
    <w:name w:val="Body Text First Indent 2"/>
    <w:basedOn w:val="BodyTextIndent"/>
    <w:link w:val="BodyTextFirstIndent2Char"/>
    <w:semiHidden/>
    <w:unhideWhenUsed/>
    <w:qFormat/>
    <w:rsid w:val="00667843"/>
    <w:pPr>
      <w:spacing w:after="0"/>
      <w:ind w:left="360" w:firstLine="360"/>
    </w:pPr>
    <w:rPr>
      <w:rFonts w:eastAsiaTheme="minorHAnsi" w:cstheme="minorBidi"/>
    </w:rPr>
  </w:style>
  <w:style w:type="character" w:customStyle="1" w:styleId="BodyTextFirstIndent2Char">
    <w:name w:val="Body Text First Indent 2 Char"/>
    <w:basedOn w:val="BodyTextIndentChar"/>
    <w:link w:val="BodyTextFirstIndent2"/>
    <w:semiHidden/>
    <w:rsid w:val="00667843"/>
    <w:rPr>
      <w:rFonts w:ascii="Times New Roman" w:eastAsia="Calibri" w:hAnsi="Times New Roman" w:cs="Times New Roman"/>
    </w:rPr>
  </w:style>
  <w:style w:type="paragraph" w:styleId="BodyTextIndent2">
    <w:name w:val="Body Text Indent 2"/>
    <w:basedOn w:val="Normal"/>
    <w:link w:val="BodyTextIndent2Char"/>
    <w:uiPriority w:val="99"/>
    <w:semiHidden/>
    <w:unhideWhenUsed/>
    <w:rsid w:val="00667843"/>
    <w:pPr>
      <w:spacing w:after="120" w:line="480" w:lineRule="auto"/>
      <w:ind w:left="360"/>
    </w:pPr>
  </w:style>
  <w:style w:type="character" w:customStyle="1" w:styleId="BodyTextIndent2Char">
    <w:name w:val="Body Text Indent 2 Char"/>
    <w:basedOn w:val="DefaultParagraphFont"/>
    <w:link w:val="BodyTextIndent2"/>
    <w:uiPriority w:val="99"/>
    <w:semiHidden/>
    <w:rsid w:val="00667843"/>
    <w:rPr>
      <w:rFonts w:ascii="Times New Roman" w:hAnsi="Times New Roman"/>
    </w:rPr>
  </w:style>
  <w:style w:type="paragraph" w:styleId="BodyTextIndent3">
    <w:name w:val="Body Text Indent 3"/>
    <w:basedOn w:val="Normal"/>
    <w:link w:val="BodyTextIndent3Char"/>
    <w:uiPriority w:val="99"/>
    <w:semiHidden/>
    <w:unhideWhenUsed/>
    <w:rsid w:val="0066784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667843"/>
    <w:rPr>
      <w:rFonts w:ascii="Times New Roman" w:hAnsi="Times New Roman"/>
      <w:sz w:val="16"/>
      <w:szCs w:val="16"/>
    </w:rPr>
  </w:style>
  <w:style w:type="paragraph" w:styleId="Caption">
    <w:name w:val="caption"/>
    <w:basedOn w:val="Normal"/>
    <w:next w:val="Normal"/>
    <w:uiPriority w:val="35"/>
    <w:semiHidden/>
    <w:unhideWhenUsed/>
    <w:qFormat/>
    <w:rsid w:val="00667843"/>
    <w:pPr>
      <w:spacing w:after="200"/>
    </w:pPr>
    <w:rPr>
      <w:i/>
      <w:iCs/>
      <w:color w:val="0E2841" w:themeColor="text2"/>
      <w:sz w:val="18"/>
      <w:szCs w:val="18"/>
    </w:rPr>
  </w:style>
  <w:style w:type="paragraph" w:styleId="Closing">
    <w:name w:val="Closing"/>
    <w:basedOn w:val="Normal"/>
    <w:link w:val="ClosingChar"/>
    <w:uiPriority w:val="99"/>
    <w:semiHidden/>
    <w:unhideWhenUsed/>
    <w:rsid w:val="00667843"/>
    <w:pPr>
      <w:ind w:left="4320"/>
    </w:pPr>
  </w:style>
  <w:style w:type="character" w:customStyle="1" w:styleId="ClosingChar">
    <w:name w:val="Closing Char"/>
    <w:basedOn w:val="DefaultParagraphFont"/>
    <w:link w:val="Closing"/>
    <w:uiPriority w:val="99"/>
    <w:semiHidden/>
    <w:rsid w:val="00667843"/>
    <w:rPr>
      <w:rFonts w:ascii="Times New Roman" w:hAnsi="Times New Roman"/>
    </w:rPr>
  </w:style>
  <w:style w:type="paragraph" w:styleId="CommentText">
    <w:name w:val="annotation text"/>
    <w:basedOn w:val="Normal"/>
    <w:link w:val="CommentTextChar"/>
    <w:uiPriority w:val="99"/>
    <w:unhideWhenUsed/>
    <w:rsid w:val="00667843"/>
    <w:rPr>
      <w:sz w:val="20"/>
      <w:szCs w:val="20"/>
    </w:rPr>
  </w:style>
  <w:style w:type="character" w:customStyle="1" w:styleId="CommentTextChar">
    <w:name w:val="Comment Text Char"/>
    <w:basedOn w:val="DefaultParagraphFont"/>
    <w:link w:val="CommentText"/>
    <w:uiPriority w:val="99"/>
    <w:rsid w:val="0066784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67843"/>
    <w:rPr>
      <w:b/>
      <w:bCs/>
    </w:rPr>
  </w:style>
  <w:style w:type="character" w:customStyle="1" w:styleId="CommentSubjectChar">
    <w:name w:val="Comment Subject Char"/>
    <w:basedOn w:val="CommentTextChar"/>
    <w:link w:val="CommentSubject"/>
    <w:uiPriority w:val="99"/>
    <w:semiHidden/>
    <w:rsid w:val="00667843"/>
    <w:rPr>
      <w:rFonts w:ascii="Times New Roman" w:hAnsi="Times New Roman"/>
      <w:b/>
      <w:bCs/>
      <w:sz w:val="20"/>
      <w:szCs w:val="20"/>
    </w:rPr>
  </w:style>
  <w:style w:type="paragraph" w:styleId="Date">
    <w:name w:val="Date"/>
    <w:basedOn w:val="Normal"/>
    <w:next w:val="Normal"/>
    <w:link w:val="DateChar"/>
    <w:uiPriority w:val="99"/>
    <w:semiHidden/>
    <w:unhideWhenUsed/>
    <w:rsid w:val="00667843"/>
  </w:style>
  <w:style w:type="character" w:customStyle="1" w:styleId="DateChar">
    <w:name w:val="Date Char"/>
    <w:basedOn w:val="DefaultParagraphFont"/>
    <w:link w:val="Date"/>
    <w:uiPriority w:val="99"/>
    <w:semiHidden/>
    <w:rsid w:val="00667843"/>
    <w:rPr>
      <w:rFonts w:ascii="Times New Roman" w:hAnsi="Times New Roman"/>
    </w:rPr>
  </w:style>
  <w:style w:type="paragraph" w:styleId="DocumentMap">
    <w:name w:val="Document Map"/>
    <w:basedOn w:val="Normal"/>
    <w:link w:val="DocumentMapChar"/>
    <w:uiPriority w:val="99"/>
    <w:semiHidden/>
    <w:unhideWhenUsed/>
    <w:rsid w:val="00667843"/>
    <w:rPr>
      <w:rFonts w:ascii="Segoe UI" w:hAnsi="Segoe UI" w:cs="Segoe UI"/>
      <w:sz w:val="16"/>
      <w:szCs w:val="16"/>
    </w:rPr>
  </w:style>
  <w:style w:type="character" w:customStyle="1" w:styleId="DocumentMapChar">
    <w:name w:val="Document Map Char"/>
    <w:basedOn w:val="DefaultParagraphFont"/>
    <w:link w:val="DocumentMap"/>
    <w:uiPriority w:val="99"/>
    <w:semiHidden/>
    <w:rsid w:val="00667843"/>
    <w:rPr>
      <w:rFonts w:ascii="Segoe UI" w:hAnsi="Segoe UI" w:cs="Segoe UI"/>
      <w:sz w:val="16"/>
      <w:szCs w:val="16"/>
    </w:rPr>
  </w:style>
  <w:style w:type="paragraph" w:styleId="E-mailSignature">
    <w:name w:val="E-mail Signature"/>
    <w:basedOn w:val="Normal"/>
    <w:link w:val="E-mailSignatureChar"/>
    <w:uiPriority w:val="99"/>
    <w:semiHidden/>
    <w:unhideWhenUsed/>
    <w:rsid w:val="00667843"/>
  </w:style>
  <w:style w:type="character" w:customStyle="1" w:styleId="E-mailSignatureChar">
    <w:name w:val="E-mail Signature Char"/>
    <w:basedOn w:val="DefaultParagraphFont"/>
    <w:link w:val="E-mailSignature"/>
    <w:uiPriority w:val="99"/>
    <w:semiHidden/>
    <w:rsid w:val="00667843"/>
    <w:rPr>
      <w:rFonts w:ascii="Times New Roman" w:hAnsi="Times New Roman"/>
    </w:rPr>
  </w:style>
  <w:style w:type="paragraph" w:styleId="EndnoteText">
    <w:name w:val="endnote text"/>
    <w:basedOn w:val="Normal"/>
    <w:link w:val="EndnoteTextChar"/>
    <w:uiPriority w:val="99"/>
    <w:semiHidden/>
    <w:unhideWhenUsed/>
    <w:rsid w:val="00667843"/>
    <w:rPr>
      <w:sz w:val="20"/>
      <w:szCs w:val="20"/>
    </w:rPr>
  </w:style>
  <w:style w:type="character" w:customStyle="1" w:styleId="EndnoteTextChar">
    <w:name w:val="Endnote Text Char"/>
    <w:basedOn w:val="DefaultParagraphFont"/>
    <w:link w:val="EndnoteText"/>
    <w:uiPriority w:val="99"/>
    <w:semiHidden/>
    <w:rsid w:val="00667843"/>
    <w:rPr>
      <w:rFonts w:ascii="Times New Roman" w:hAnsi="Times New Roman"/>
      <w:sz w:val="20"/>
      <w:szCs w:val="20"/>
    </w:rPr>
  </w:style>
  <w:style w:type="paragraph" w:styleId="EnvelopeAddress">
    <w:name w:val="envelope address"/>
    <w:basedOn w:val="Normal"/>
    <w:uiPriority w:val="99"/>
    <w:semiHidden/>
    <w:unhideWhenUsed/>
    <w:rsid w:val="0066784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667843"/>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667843"/>
    <w:rPr>
      <w:rFonts w:asciiTheme="majorHAnsi" w:eastAsiaTheme="majorEastAsia" w:hAnsiTheme="majorHAnsi" w:cstheme="majorBidi"/>
      <w:color w:val="0F4761" w:themeColor="accent1" w:themeShade="BF"/>
      <w:sz w:val="32"/>
      <w:szCs w:val="32"/>
    </w:rPr>
  </w:style>
  <w:style w:type="character" w:customStyle="1" w:styleId="Heading2Char">
    <w:name w:val="Heading 2 Char"/>
    <w:basedOn w:val="DefaultParagraphFont"/>
    <w:link w:val="Heading2"/>
    <w:uiPriority w:val="9"/>
    <w:semiHidden/>
    <w:rsid w:val="00667843"/>
    <w:rPr>
      <w:rFonts w:asciiTheme="majorHAnsi" w:eastAsiaTheme="majorEastAsia" w:hAnsiTheme="majorHAnsi" w:cstheme="majorBidi"/>
      <w:color w:val="0F4761" w:themeColor="accent1" w:themeShade="BF"/>
      <w:sz w:val="26"/>
      <w:szCs w:val="26"/>
    </w:rPr>
  </w:style>
  <w:style w:type="character" w:customStyle="1" w:styleId="Heading3Char">
    <w:name w:val="Heading 3 Char"/>
    <w:basedOn w:val="DefaultParagraphFont"/>
    <w:link w:val="Heading3"/>
    <w:uiPriority w:val="9"/>
    <w:semiHidden/>
    <w:rsid w:val="00667843"/>
    <w:rPr>
      <w:rFonts w:asciiTheme="majorHAnsi" w:eastAsiaTheme="majorEastAsia" w:hAnsiTheme="majorHAnsi" w:cstheme="majorBidi"/>
      <w:color w:val="0A2F40" w:themeColor="accent1" w:themeShade="7F"/>
    </w:rPr>
  </w:style>
  <w:style w:type="character" w:customStyle="1" w:styleId="Heading4Char">
    <w:name w:val="Heading 4 Char"/>
    <w:basedOn w:val="DefaultParagraphFont"/>
    <w:link w:val="Heading4"/>
    <w:uiPriority w:val="9"/>
    <w:semiHidden/>
    <w:rsid w:val="00667843"/>
    <w:rPr>
      <w:rFonts w:asciiTheme="majorHAnsi" w:eastAsiaTheme="majorEastAsia" w:hAnsiTheme="majorHAnsi" w:cstheme="majorBidi"/>
      <w:i/>
      <w:iCs/>
      <w:color w:val="0F4761" w:themeColor="accent1" w:themeShade="BF"/>
    </w:rPr>
  </w:style>
  <w:style w:type="character" w:customStyle="1" w:styleId="Heading5Char">
    <w:name w:val="Heading 5 Char"/>
    <w:basedOn w:val="DefaultParagraphFont"/>
    <w:link w:val="Heading5"/>
    <w:uiPriority w:val="9"/>
    <w:semiHidden/>
    <w:rsid w:val="00667843"/>
    <w:rPr>
      <w:rFonts w:asciiTheme="majorHAnsi" w:eastAsiaTheme="majorEastAsia" w:hAnsiTheme="majorHAnsi" w:cstheme="majorBidi"/>
      <w:color w:val="0F4761" w:themeColor="accent1" w:themeShade="BF"/>
    </w:rPr>
  </w:style>
  <w:style w:type="character" w:customStyle="1" w:styleId="Heading6Char">
    <w:name w:val="Heading 6 Char"/>
    <w:basedOn w:val="DefaultParagraphFont"/>
    <w:link w:val="Heading6"/>
    <w:uiPriority w:val="9"/>
    <w:semiHidden/>
    <w:rsid w:val="00667843"/>
    <w:rPr>
      <w:rFonts w:asciiTheme="majorHAnsi" w:eastAsiaTheme="majorEastAsia" w:hAnsiTheme="majorHAnsi" w:cstheme="majorBidi"/>
      <w:color w:val="0A2F40" w:themeColor="accent1" w:themeShade="7F"/>
    </w:rPr>
  </w:style>
  <w:style w:type="character" w:customStyle="1" w:styleId="Heading7Char">
    <w:name w:val="Heading 7 Char"/>
    <w:basedOn w:val="DefaultParagraphFont"/>
    <w:link w:val="Heading7"/>
    <w:uiPriority w:val="9"/>
    <w:semiHidden/>
    <w:rsid w:val="00667843"/>
    <w:rPr>
      <w:rFonts w:asciiTheme="majorHAnsi" w:eastAsiaTheme="majorEastAsia" w:hAnsiTheme="majorHAnsi" w:cstheme="majorBidi"/>
      <w:i/>
      <w:iCs/>
      <w:color w:val="0A2F40" w:themeColor="accent1" w:themeShade="7F"/>
    </w:rPr>
  </w:style>
  <w:style w:type="character" w:customStyle="1" w:styleId="Heading8Char">
    <w:name w:val="Heading 8 Char"/>
    <w:basedOn w:val="DefaultParagraphFont"/>
    <w:link w:val="Heading8"/>
    <w:uiPriority w:val="9"/>
    <w:semiHidden/>
    <w:rsid w:val="0066784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67843"/>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667843"/>
    <w:rPr>
      <w:i/>
      <w:iCs/>
    </w:rPr>
  </w:style>
  <w:style w:type="character" w:customStyle="1" w:styleId="HTMLAddressChar">
    <w:name w:val="HTML Address Char"/>
    <w:basedOn w:val="DefaultParagraphFont"/>
    <w:link w:val="HTMLAddress"/>
    <w:uiPriority w:val="99"/>
    <w:semiHidden/>
    <w:rsid w:val="00667843"/>
    <w:rPr>
      <w:rFonts w:ascii="Times New Roman" w:hAnsi="Times New Roman"/>
      <w:i/>
      <w:iCs/>
    </w:rPr>
  </w:style>
  <w:style w:type="paragraph" w:styleId="HTMLPreformatted">
    <w:name w:val="HTML Preformatted"/>
    <w:basedOn w:val="Normal"/>
    <w:link w:val="HTMLPreformattedChar"/>
    <w:uiPriority w:val="99"/>
    <w:semiHidden/>
    <w:unhideWhenUsed/>
    <w:rsid w:val="00667843"/>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667843"/>
    <w:rPr>
      <w:rFonts w:ascii="Consolas" w:hAnsi="Consolas"/>
      <w:sz w:val="20"/>
      <w:szCs w:val="20"/>
    </w:rPr>
  </w:style>
  <w:style w:type="paragraph" w:styleId="Index1">
    <w:name w:val="index 1"/>
    <w:basedOn w:val="Normal"/>
    <w:next w:val="Normal"/>
    <w:autoRedefine/>
    <w:uiPriority w:val="99"/>
    <w:semiHidden/>
    <w:unhideWhenUsed/>
    <w:rsid w:val="00667843"/>
    <w:pPr>
      <w:ind w:left="240" w:hanging="240"/>
    </w:pPr>
  </w:style>
  <w:style w:type="paragraph" w:styleId="Index2">
    <w:name w:val="index 2"/>
    <w:basedOn w:val="Normal"/>
    <w:next w:val="Normal"/>
    <w:autoRedefine/>
    <w:uiPriority w:val="99"/>
    <w:semiHidden/>
    <w:unhideWhenUsed/>
    <w:rsid w:val="00667843"/>
    <w:pPr>
      <w:ind w:left="480" w:hanging="240"/>
    </w:pPr>
  </w:style>
  <w:style w:type="paragraph" w:styleId="Index3">
    <w:name w:val="index 3"/>
    <w:basedOn w:val="Normal"/>
    <w:next w:val="Normal"/>
    <w:autoRedefine/>
    <w:uiPriority w:val="99"/>
    <w:semiHidden/>
    <w:unhideWhenUsed/>
    <w:rsid w:val="00667843"/>
    <w:pPr>
      <w:ind w:left="720" w:hanging="240"/>
    </w:pPr>
  </w:style>
  <w:style w:type="paragraph" w:styleId="Index4">
    <w:name w:val="index 4"/>
    <w:basedOn w:val="Normal"/>
    <w:next w:val="Normal"/>
    <w:autoRedefine/>
    <w:uiPriority w:val="99"/>
    <w:semiHidden/>
    <w:unhideWhenUsed/>
    <w:rsid w:val="00667843"/>
    <w:pPr>
      <w:ind w:left="960" w:hanging="240"/>
    </w:pPr>
  </w:style>
  <w:style w:type="paragraph" w:styleId="Index5">
    <w:name w:val="index 5"/>
    <w:basedOn w:val="Normal"/>
    <w:next w:val="Normal"/>
    <w:autoRedefine/>
    <w:uiPriority w:val="99"/>
    <w:semiHidden/>
    <w:unhideWhenUsed/>
    <w:rsid w:val="00667843"/>
    <w:pPr>
      <w:ind w:left="1200" w:hanging="240"/>
    </w:pPr>
  </w:style>
  <w:style w:type="paragraph" w:styleId="Index6">
    <w:name w:val="index 6"/>
    <w:basedOn w:val="Normal"/>
    <w:next w:val="Normal"/>
    <w:autoRedefine/>
    <w:uiPriority w:val="99"/>
    <w:semiHidden/>
    <w:unhideWhenUsed/>
    <w:rsid w:val="00667843"/>
    <w:pPr>
      <w:ind w:left="1440" w:hanging="240"/>
    </w:pPr>
  </w:style>
  <w:style w:type="paragraph" w:styleId="Index7">
    <w:name w:val="index 7"/>
    <w:basedOn w:val="Normal"/>
    <w:next w:val="Normal"/>
    <w:autoRedefine/>
    <w:uiPriority w:val="99"/>
    <w:semiHidden/>
    <w:unhideWhenUsed/>
    <w:rsid w:val="00667843"/>
    <w:pPr>
      <w:ind w:left="1680" w:hanging="240"/>
    </w:pPr>
  </w:style>
  <w:style w:type="paragraph" w:styleId="Index8">
    <w:name w:val="index 8"/>
    <w:basedOn w:val="Normal"/>
    <w:next w:val="Normal"/>
    <w:autoRedefine/>
    <w:uiPriority w:val="99"/>
    <w:semiHidden/>
    <w:unhideWhenUsed/>
    <w:rsid w:val="00667843"/>
    <w:pPr>
      <w:ind w:left="1920" w:hanging="240"/>
    </w:pPr>
  </w:style>
  <w:style w:type="paragraph" w:styleId="Index9">
    <w:name w:val="index 9"/>
    <w:basedOn w:val="Normal"/>
    <w:next w:val="Normal"/>
    <w:autoRedefine/>
    <w:uiPriority w:val="99"/>
    <w:semiHidden/>
    <w:unhideWhenUsed/>
    <w:rsid w:val="00667843"/>
    <w:pPr>
      <w:ind w:left="2160" w:hanging="240"/>
    </w:pPr>
  </w:style>
  <w:style w:type="paragraph" w:styleId="IndexHeading">
    <w:name w:val="index heading"/>
    <w:basedOn w:val="Normal"/>
    <w:next w:val="Index1"/>
    <w:uiPriority w:val="99"/>
    <w:semiHidden/>
    <w:unhideWhenUsed/>
    <w:rsid w:val="006678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7843"/>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67843"/>
    <w:rPr>
      <w:rFonts w:ascii="Times New Roman" w:hAnsi="Times New Roman"/>
      <w:i/>
      <w:iCs/>
      <w:color w:val="156082" w:themeColor="accent1"/>
    </w:rPr>
  </w:style>
  <w:style w:type="paragraph" w:styleId="List">
    <w:name w:val="List"/>
    <w:basedOn w:val="Normal"/>
    <w:uiPriority w:val="99"/>
    <w:semiHidden/>
    <w:unhideWhenUsed/>
    <w:rsid w:val="00667843"/>
    <w:pPr>
      <w:ind w:left="360" w:hanging="360"/>
      <w:contextualSpacing/>
    </w:pPr>
  </w:style>
  <w:style w:type="paragraph" w:styleId="List2">
    <w:name w:val="List 2"/>
    <w:basedOn w:val="Normal"/>
    <w:uiPriority w:val="99"/>
    <w:semiHidden/>
    <w:unhideWhenUsed/>
    <w:rsid w:val="00667843"/>
    <w:pPr>
      <w:ind w:left="720" w:hanging="360"/>
      <w:contextualSpacing/>
    </w:pPr>
  </w:style>
  <w:style w:type="paragraph" w:styleId="List3">
    <w:name w:val="List 3"/>
    <w:basedOn w:val="Normal"/>
    <w:uiPriority w:val="99"/>
    <w:semiHidden/>
    <w:unhideWhenUsed/>
    <w:rsid w:val="00667843"/>
    <w:pPr>
      <w:ind w:left="1080" w:hanging="360"/>
      <w:contextualSpacing/>
    </w:pPr>
  </w:style>
  <w:style w:type="paragraph" w:styleId="List4">
    <w:name w:val="List 4"/>
    <w:basedOn w:val="Normal"/>
    <w:uiPriority w:val="99"/>
    <w:semiHidden/>
    <w:unhideWhenUsed/>
    <w:rsid w:val="00667843"/>
    <w:pPr>
      <w:ind w:left="1440" w:hanging="360"/>
      <w:contextualSpacing/>
    </w:pPr>
  </w:style>
  <w:style w:type="paragraph" w:styleId="List5">
    <w:name w:val="List 5"/>
    <w:basedOn w:val="Normal"/>
    <w:uiPriority w:val="99"/>
    <w:semiHidden/>
    <w:unhideWhenUsed/>
    <w:rsid w:val="00667843"/>
    <w:pPr>
      <w:ind w:left="1800" w:hanging="360"/>
      <w:contextualSpacing/>
    </w:pPr>
  </w:style>
  <w:style w:type="paragraph" w:styleId="ListBullet">
    <w:name w:val="List Bullet"/>
    <w:basedOn w:val="Normal"/>
    <w:rsid w:val="00422A6F"/>
    <w:pPr>
      <w:numPr>
        <w:numId w:val="4"/>
      </w:numPr>
      <w:spacing w:after="240"/>
    </w:pPr>
  </w:style>
  <w:style w:type="paragraph" w:styleId="ListBullet2">
    <w:name w:val="List Bullet 2"/>
    <w:basedOn w:val="Normal"/>
    <w:rsid w:val="00422A6F"/>
    <w:pPr>
      <w:numPr>
        <w:numId w:val="5"/>
      </w:numPr>
      <w:spacing w:after="240"/>
    </w:pPr>
  </w:style>
  <w:style w:type="paragraph" w:styleId="ListBullet3">
    <w:name w:val="List Bullet 3"/>
    <w:basedOn w:val="Normal"/>
    <w:rsid w:val="00422A6F"/>
    <w:pPr>
      <w:numPr>
        <w:numId w:val="6"/>
      </w:numPr>
      <w:spacing w:after="240"/>
    </w:pPr>
  </w:style>
  <w:style w:type="paragraph" w:styleId="ListBullet4">
    <w:name w:val="List Bullet 4"/>
    <w:basedOn w:val="Normal"/>
    <w:uiPriority w:val="99"/>
    <w:semiHidden/>
    <w:unhideWhenUsed/>
    <w:rsid w:val="00667843"/>
    <w:pPr>
      <w:numPr>
        <w:numId w:val="7"/>
      </w:numPr>
      <w:contextualSpacing/>
    </w:pPr>
  </w:style>
  <w:style w:type="paragraph" w:styleId="ListBullet5">
    <w:name w:val="List Bullet 5"/>
    <w:basedOn w:val="Normal"/>
    <w:uiPriority w:val="99"/>
    <w:semiHidden/>
    <w:unhideWhenUsed/>
    <w:rsid w:val="00667843"/>
    <w:pPr>
      <w:numPr>
        <w:numId w:val="8"/>
      </w:numPr>
      <w:contextualSpacing/>
    </w:pPr>
  </w:style>
  <w:style w:type="paragraph" w:styleId="ListContinue">
    <w:name w:val="List Continue"/>
    <w:basedOn w:val="Normal"/>
    <w:uiPriority w:val="99"/>
    <w:semiHidden/>
    <w:unhideWhenUsed/>
    <w:rsid w:val="00667843"/>
    <w:pPr>
      <w:spacing w:after="120"/>
      <w:ind w:left="360"/>
      <w:contextualSpacing/>
    </w:pPr>
  </w:style>
  <w:style w:type="paragraph" w:styleId="ListContinue2">
    <w:name w:val="List Continue 2"/>
    <w:basedOn w:val="Normal"/>
    <w:uiPriority w:val="99"/>
    <w:semiHidden/>
    <w:unhideWhenUsed/>
    <w:rsid w:val="00667843"/>
    <w:pPr>
      <w:spacing w:after="120"/>
      <w:ind w:left="720"/>
      <w:contextualSpacing/>
    </w:pPr>
  </w:style>
  <w:style w:type="paragraph" w:styleId="ListContinue3">
    <w:name w:val="List Continue 3"/>
    <w:basedOn w:val="Normal"/>
    <w:uiPriority w:val="99"/>
    <w:semiHidden/>
    <w:unhideWhenUsed/>
    <w:rsid w:val="00667843"/>
    <w:pPr>
      <w:spacing w:after="120"/>
      <w:ind w:left="1080"/>
      <w:contextualSpacing/>
    </w:pPr>
  </w:style>
  <w:style w:type="paragraph" w:styleId="ListContinue4">
    <w:name w:val="List Continue 4"/>
    <w:basedOn w:val="Normal"/>
    <w:uiPriority w:val="99"/>
    <w:semiHidden/>
    <w:unhideWhenUsed/>
    <w:rsid w:val="00667843"/>
    <w:pPr>
      <w:spacing w:after="120"/>
      <w:ind w:left="1440"/>
      <w:contextualSpacing/>
    </w:pPr>
  </w:style>
  <w:style w:type="paragraph" w:styleId="ListContinue5">
    <w:name w:val="List Continue 5"/>
    <w:basedOn w:val="Normal"/>
    <w:uiPriority w:val="99"/>
    <w:semiHidden/>
    <w:unhideWhenUsed/>
    <w:rsid w:val="00667843"/>
    <w:pPr>
      <w:spacing w:after="120"/>
      <w:ind w:left="1800"/>
      <w:contextualSpacing/>
    </w:pPr>
  </w:style>
  <w:style w:type="paragraph" w:styleId="ListNumber">
    <w:name w:val="List Number"/>
    <w:basedOn w:val="Normal"/>
    <w:uiPriority w:val="99"/>
    <w:semiHidden/>
    <w:unhideWhenUsed/>
    <w:rsid w:val="00667843"/>
    <w:pPr>
      <w:numPr>
        <w:numId w:val="9"/>
      </w:numPr>
      <w:contextualSpacing/>
    </w:pPr>
  </w:style>
  <w:style w:type="paragraph" w:styleId="ListNumber2">
    <w:name w:val="List Number 2"/>
    <w:basedOn w:val="Normal"/>
    <w:uiPriority w:val="99"/>
    <w:semiHidden/>
    <w:unhideWhenUsed/>
    <w:rsid w:val="00667843"/>
    <w:pPr>
      <w:numPr>
        <w:numId w:val="10"/>
      </w:numPr>
      <w:contextualSpacing/>
    </w:pPr>
  </w:style>
  <w:style w:type="paragraph" w:styleId="ListNumber3">
    <w:name w:val="List Number 3"/>
    <w:basedOn w:val="Normal"/>
    <w:uiPriority w:val="99"/>
    <w:semiHidden/>
    <w:unhideWhenUsed/>
    <w:rsid w:val="00667843"/>
    <w:pPr>
      <w:numPr>
        <w:numId w:val="11"/>
      </w:numPr>
      <w:contextualSpacing/>
    </w:pPr>
  </w:style>
  <w:style w:type="paragraph" w:styleId="ListNumber4">
    <w:name w:val="List Number 4"/>
    <w:basedOn w:val="Normal"/>
    <w:uiPriority w:val="99"/>
    <w:semiHidden/>
    <w:unhideWhenUsed/>
    <w:rsid w:val="00667843"/>
    <w:pPr>
      <w:numPr>
        <w:numId w:val="12"/>
      </w:numPr>
      <w:contextualSpacing/>
    </w:pPr>
  </w:style>
  <w:style w:type="paragraph" w:styleId="ListNumber5">
    <w:name w:val="List Number 5"/>
    <w:basedOn w:val="Normal"/>
    <w:uiPriority w:val="99"/>
    <w:semiHidden/>
    <w:unhideWhenUsed/>
    <w:rsid w:val="00667843"/>
    <w:pPr>
      <w:numPr>
        <w:numId w:val="13"/>
      </w:numPr>
      <w:contextualSpacing/>
    </w:pPr>
  </w:style>
  <w:style w:type="paragraph" w:styleId="MacroText">
    <w:name w:val="macro"/>
    <w:link w:val="MacroTextChar"/>
    <w:uiPriority w:val="99"/>
    <w:semiHidden/>
    <w:unhideWhenUsed/>
    <w:rsid w:val="00667843"/>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xtChar">
    <w:name w:val="Macro Text Char"/>
    <w:basedOn w:val="DefaultParagraphFont"/>
    <w:link w:val="MacroText"/>
    <w:uiPriority w:val="99"/>
    <w:semiHidden/>
    <w:rsid w:val="00667843"/>
    <w:rPr>
      <w:rFonts w:ascii="Consolas" w:hAnsi="Consolas"/>
      <w:sz w:val="20"/>
      <w:szCs w:val="20"/>
    </w:rPr>
  </w:style>
  <w:style w:type="paragraph" w:styleId="MessageHeader">
    <w:name w:val="Message Header"/>
    <w:basedOn w:val="Normal"/>
    <w:link w:val="MessageHeaderChar"/>
    <w:uiPriority w:val="99"/>
    <w:semiHidden/>
    <w:unhideWhenUsed/>
    <w:rsid w:val="00667843"/>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667843"/>
    <w:rPr>
      <w:rFonts w:asciiTheme="majorHAnsi" w:eastAsiaTheme="majorEastAsia" w:hAnsiTheme="majorHAnsi" w:cstheme="majorBidi"/>
      <w:shd w:val="pct20" w:color="auto" w:fill="auto"/>
    </w:rPr>
  </w:style>
  <w:style w:type="paragraph" w:styleId="NoSpacing">
    <w:name w:val="No Spacing"/>
    <w:uiPriority w:val="1"/>
    <w:qFormat/>
    <w:rsid w:val="00667843"/>
    <w:rPr>
      <w:rFonts w:ascii="Times New Roman" w:hAnsi="Times New Roman"/>
    </w:rPr>
  </w:style>
  <w:style w:type="paragraph" w:styleId="NormalWeb">
    <w:name w:val="Normal (Web)"/>
    <w:basedOn w:val="Normal"/>
    <w:uiPriority w:val="99"/>
    <w:semiHidden/>
    <w:unhideWhenUsed/>
    <w:rsid w:val="00667843"/>
  </w:style>
  <w:style w:type="paragraph" w:styleId="NormalIndent">
    <w:name w:val="Normal Indent"/>
    <w:basedOn w:val="Normal"/>
    <w:uiPriority w:val="99"/>
    <w:semiHidden/>
    <w:unhideWhenUsed/>
    <w:rsid w:val="00667843"/>
    <w:pPr>
      <w:ind w:left="720"/>
    </w:pPr>
  </w:style>
  <w:style w:type="paragraph" w:styleId="NoteHeading">
    <w:name w:val="Note Heading"/>
    <w:basedOn w:val="Normal"/>
    <w:next w:val="Normal"/>
    <w:link w:val="NoteHeadingChar"/>
    <w:uiPriority w:val="99"/>
    <w:semiHidden/>
    <w:unhideWhenUsed/>
    <w:rsid w:val="00667843"/>
  </w:style>
  <w:style w:type="character" w:customStyle="1" w:styleId="NoteHeadingChar">
    <w:name w:val="Note Heading Char"/>
    <w:basedOn w:val="DefaultParagraphFont"/>
    <w:link w:val="NoteHeading"/>
    <w:uiPriority w:val="99"/>
    <w:semiHidden/>
    <w:rsid w:val="00667843"/>
    <w:rPr>
      <w:rFonts w:ascii="Times New Roman" w:hAnsi="Times New Roman"/>
    </w:rPr>
  </w:style>
  <w:style w:type="paragraph" w:styleId="PlainText">
    <w:name w:val="Plain Text"/>
    <w:basedOn w:val="Normal"/>
    <w:link w:val="PlainTextChar"/>
    <w:uiPriority w:val="99"/>
    <w:semiHidden/>
    <w:unhideWhenUsed/>
    <w:rsid w:val="00667843"/>
    <w:rPr>
      <w:rFonts w:ascii="Consolas" w:hAnsi="Consolas"/>
      <w:sz w:val="21"/>
      <w:szCs w:val="21"/>
    </w:rPr>
  </w:style>
  <w:style w:type="character" w:customStyle="1" w:styleId="PlainTextChar">
    <w:name w:val="Plain Text Char"/>
    <w:basedOn w:val="DefaultParagraphFont"/>
    <w:link w:val="PlainText"/>
    <w:uiPriority w:val="99"/>
    <w:semiHidden/>
    <w:rsid w:val="00667843"/>
    <w:rPr>
      <w:rFonts w:ascii="Consolas" w:hAnsi="Consolas"/>
      <w:sz w:val="21"/>
      <w:szCs w:val="21"/>
    </w:rPr>
  </w:style>
  <w:style w:type="paragraph" w:styleId="Salutation">
    <w:name w:val="Salutation"/>
    <w:basedOn w:val="Normal"/>
    <w:next w:val="Normal"/>
    <w:link w:val="SalutationChar"/>
    <w:uiPriority w:val="99"/>
    <w:semiHidden/>
    <w:unhideWhenUsed/>
    <w:rsid w:val="00667843"/>
  </w:style>
  <w:style w:type="character" w:customStyle="1" w:styleId="SalutationChar">
    <w:name w:val="Salutation Char"/>
    <w:basedOn w:val="DefaultParagraphFont"/>
    <w:link w:val="Salutation"/>
    <w:uiPriority w:val="99"/>
    <w:semiHidden/>
    <w:rsid w:val="00667843"/>
    <w:rPr>
      <w:rFonts w:ascii="Times New Roman" w:hAnsi="Times New Roman"/>
    </w:rPr>
  </w:style>
  <w:style w:type="paragraph" w:styleId="Signature">
    <w:name w:val="Signature"/>
    <w:basedOn w:val="Normal"/>
    <w:link w:val="SignatureChar"/>
    <w:uiPriority w:val="99"/>
    <w:semiHidden/>
    <w:unhideWhenUsed/>
    <w:rsid w:val="00667843"/>
    <w:pPr>
      <w:ind w:left="4320"/>
    </w:pPr>
  </w:style>
  <w:style w:type="character" w:customStyle="1" w:styleId="SignatureChar">
    <w:name w:val="Signature Char"/>
    <w:basedOn w:val="DefaultParagraphFont"/>
    <w:link w:val="Signature"/>
    <w:uiPriority w:val="99"/>
    <w:semiHidden/>
    <w:rsid w:val="00667843"/>
    <w:rPr>
      <w:rFonts w:ascii="Times New Roman" w:hAnsi="Times New Roman"/>
    </w:rPr>
  </w:style>
  <w:style w:type="paragraph" w:styleId="TableofAuthorities">
    <w:name w:val="table of authorities"/>
    <w:basedOn w:val="Normal"/>
    <w:next w:val="Normal"/>
    <w:uiPriority w:val="99"/>
    <w:semiHidden/>
    <w:unhideWhenUsed/>
    <w:rsid w:val="00667843"/>
    <w:pPr>
      <w:ind w:left="240" w:hanging="240"/>
    </w:pPr>
  </w:style>
  <w:style w:type="paragraph" w:styleId="TableofFigures">
    <w:name w:val="table of figures"/>
    <w:basedOn w:val="Normal"/>
    <w:next w:val="Normal"/>
    <w:uiPriority w:val="99"/>
    <w:semiHidden/>
    <w:unhideWhenUsed/>
    <w:rsid w:val="00667843"/>
  </w:style>
  <w:style w:type="paragraph" w:styleId="TOAHeading">
    <w:name w:val="toa heading"/>
    <w:basedOn w:val="Normal"/>
    <w:next w:val="Normal"/>
    <w:uiPriority w:val="99"/>
    <w:semiHidden/>
    <w:unhideWhenUsed/>
    <w:rsid w:val="00667843"/>
    <w:pPr>
      <w:spacing w:before="120"/>
    </w:pPr>
    <w:rPr>
      <w:rFonts w:asciiTheme="majorHAnsi" w:eastAsiaTheme="majorEastAsia" w:hAnsiTheme="majorHAnsi" w:cstheme="majorBidi"/>
      <w:b/>
      <w:bCs/>
    </w:rPr>
  </w:style>
  <w:style w:type="paragraph" w:styleId="TOCHeading">
    <w:name w:val="TOC Heading"/>
    <w:basedOn w:val="Heading1"/>
    <w:next w:val="Normal"/>
    <w:uiPriority w:val="39"/>
    <w:semiHidden/>
    <w:unhideWhenUsed/>
    <w:qFormat/>
    <w:rsid w:val="00667843"/>
    <w:pPr>
      <w:outlineLvl w:val="9"/>
    </w:pPr>
  </w:style>
  <w:style w:type="character" w:customStyle="1" w:styleId="DocID">
    <w:name w:val="DocID"/>
    <w:basedOn w:val="DefaultParagraphFont"/>
    <w:uiPriority w:val="1"/>
    <w:qFormat/>
    <w:rsid w:val="000460A1"/>
    <w:rPr>
      <w:sz w:val="16"/>
    </w:rPr>
  </w:style>
  <w:style w:type="character" w:styleId="IntenseEmphasis">
    <w:name w:val="Intense Emphasis"/>
    <w:basedOn w:val="DefaultParagraphFont"/>
    <w:uiPriority w:val="21"/>
    <w:qFormat/>
    <w:rsid w:val="00893ADB"/>
    <w:rPr>
      <w:i/>
      <w:iCs/>
      <w:color w:val="0F4761" w:themeColor="accent1" w:themeShade="BF"/>
    </w:rPr>
  </w:style>
  <w:style w:type="character" w:styleId="IntenseReference">
    <w:name w:val="Intense Reference"/>
    <w:basedOn w:val="DefaultParagraphFont"/>
    <w:uiPriority w:val="32"/>
    <w:qFormat/>
    <w:rsid w:val="00893ADB"/>
    <w:rPr>
      <w:b/>
      <w:bCs/>
      <w:smallCaps/>
      <w:color w:val="0F4761" w:themeColor="accent1" w:themeShade="BF"/>
      <w:spacing w:val="5"/>
    </w:rPr>
  </w:style>
  <w:style w:type="character" w:styleId="CommentReference">
    <w:name w:val="annotation reference"/>
    <w:basedOn w:val="DefaultParagraphFont"/>
    <w:uiPriority w:val="99"/>
    <w:semiHidden/>
    <w:unhideWhenUsed/>
    <w:rsid w:val="00AD0E5A"/>
    <w:rPr>
      <w:sz w:val="16"/>
      <w:szCs w:val="16"/>
    </w:rPr>
  </w:style>
  <w:style w:type="character" w:styleId="Hyperlink">
    <w:name w:val="Hyperlink"/>
    <w:basedOn w:val="DefaultParagraphFont"/>
    <w:uiPriority w:val="99"/>
    <w:unhideWhenUsed/>
    <w:rsid w:val="0083378B"/>
    <w:rPr>
      <w:color w:val="467886" w:themeColor="hyperlink"/>
      <w:u w:val="single"/>
    </w:rPr>
  </w:style>
  <w:style w:type="character" w:styleId="UnresolvedMention">
    <w:name w:val="Unresolved Mention"/>
    <w:basedOn w:val="DefaultParagraphFont"/>
    <w:uiPriority w:val="99"/>
    <w:semiHidden/>
    <w:unhideWhenUsed/>
    <w:rsid w:val="0083378B"/>
    <w:rPr>
      <w:color w:val="605E5C"/>
      <w:shd w:val="clear" w:color="auto" w:fill="E1DFDD"/>
    </w:rPr>
  </w:style>
  <w:style w:type="paragraph" w:styleId="Revision">
    <w:name w:val="Revision"/>
    <w:hidden/>
    <w:uiPriority w:val="99"/>
    <w:semiHidden/>
    <w:rsid w:val="0006782A"/>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592739">
      <w:bodyDiv w:val="1"/>
      <w:marLeft w:val="0"/>
      <w:marRight w:val="0"/>
      <w:marTop w:val="0"/>
      <w:marBottom w:val="0"/>
      <w:divBdr>
        <w:top w:val="none" w:sz="0" w:space="0" w:color="auto"/>
        <w:left w:val="none" w:sz="0" w:space="0" w:color="auto"/>
        <w:bottom w:val="none" w:sz="0" w:space="0" w:color="auto"/>
        <w:right w:val="none" w:sz="0" w:space="0" w:color="auto"/>
      </w:divBdr>
      <w:divsChild>
        <w:div w:id="320739413">
          <w:marLeft w:val="0"/>
          <w:marRight w:val="0"/>
          <w:marTop w:val="0"/>
          <w:marBottom w:val="0"/>
          <w:divBdr>
            <w:top w:val="none" w:sz="0" w:space="0" w:color="3D3D3D"/>
            <w:left w:val="none" w:sz="0" w:space="0" w:color="3D3D3D"/>
            <w:bottom w:val="none" w:sz="0" w:space="0" w:color="3D3D3D"/>
            <w:right w:val="none" w:sz="0" w:space="0" w:color="3D3D3D"/>
          </w:divBdr>
          <w:divsChild>
            <w:div w:id="535580361">
              <w:marLeft w:val="0"/>
              <w:marRight w:val="0"/>
              <w:marTop w:val="0"/>
              <w:marBottom w:val="0"/>
              <w:divBdr>
                <w:top w:val="none" w:sz="0" w:space="0" w:color="3D3D3D"/>
                <w:left w:val="none" w:sz="0" w:space="0" w:color="3D3D3D"/>
                <w:bottom w:val="none" w:sz="0" w:space="0" w:color="3D3D3D"/>
                <w:right w:val="none" w:sz="0" w:space="0" w:color="3D3D3D"/>
              </w:divBdr>
            </w:div>
          </w:divsChild>
        </w:div>
      </w:divsChild>
    </w:div>
    <w:div w:id="426393361">
      <w:bodyDiv w:val="1"/>
      <w:marLeft w:val="0"/>
      <w:marRight w:val="0"/>
      <w:marTop w:val="0"/>
      <w:marBottom w:val="0"/>
      <w:divBdr>
        <w:top w:val="none" w:sz="0" w:space="0" w:color="auto"/>
        <w:left w:val="none" w:sz="0" w:space="0" w:color="auto"/>
        <w:bottom w:val="none" w:sz="0" w:space="0" w:color="auto"/>
        <w:right w:val="none" w:sz="0" w:space="0" w:color="auto"/>
      </w:divBdr>
      <w:divsChild>
        <w:div w:id="370768527">
          <w:marLeft w:val="0"/>
          <w:marRight w:val="0"/>
          <w:marTop w:val="0"/>
          <w:marBottom w:val="0"/>
          <w:divBdr>
            <w:top w:val="none" w:sz="0" w:space="0" w:color="auto"/>
            <w:left w:val="none" w:sz="0" w:space="0" w:color="auto"/>
            <w:bottom w:val="none" w:sz="0" w:space="0" w:color="auto"/>
            <w:right w:val="none" w:sz="0" w:space="0" w:color="auto"/>
          </w:divBdr>
          <w:divsChild>
            <w:div w:id="1077938207">
              <w:marLeft w:val="0"/>
              <w:marRight w:val="0"/>
              <w:marTop w:val="0"/>
              <w:marBottom w:val="0"/>
              <w:divBdr>
                <w:top w:val="none" w:sz="0" w:space="0" w:color="auto"/>
                <w:left w:val="none" w:sz="0" w:space="0" w:color="auto"/>
                <w:bottom w:val="none" w:sz="0" w:space="0" w:color="auto"/>
                <w:right w:val="none" w:sz="0" w:space="0" w:color="auto"/>
              </w:divBdr>
            </w:div>
          </w:divsChild>
        </w:div>
        <w:div w:id="1958415952">
          <w:marLeft w:val="0"/>
          <w:marRight w:val="0"/>
          <w:marTop w:val="0"/>
          <w:marBottom w:val="0"/>
          <w:divBdr>
            <w:top w:val="none" w:sz="0" w:space="0" w:color="auto"/>
            <w:left w:val="none" w:sz="0" w:space="0" w:color="auto"/>
            <w:bottom w:val="none" w:sz="0" w:space="0" w:color="auto"/>
            <w:right w:val="none" w:sz="0" w:space="0" w:color="auto"/>
          </w:divBdr>
          <w:divsChild>
            <w:div w:id="177131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553">
      <w:bodyDiv w:val="1"/>
      <w:marLeft w:val="0"/>
      <w:marRight w:val="0"/>
      <w:marTop w:val="0"/>
      <w:marBottom w:val="0"/>
      <w:divBdr>
        <w:top w:val="none" w:sz="0" w:space="0" w:color="auto"/>
        <w:left w:val="none" w:sz="0" w:space="0" w:color="auto"/>
        <w:bottom w:val="none" w:sz="0" w:space="0" w:color="auto"/>
        <w:right w:val="none" w:sz="0" w:space="0" w:color="auto"/>
      </w:divBdr>
      <w:divsChild>
        <w:div w:id="822891199">
          <w:marLeft w:val="0"/>
          <w:marRight w:val="0"/>
          <w:marTop w:val="0"/>
          <w:marBottom w:val="0"/>
          <w:divBdr>
            <w:top w:val="none" w:sz="0" w:space="0" w:color="auto"/>
            <w:left w:val="none" w:sz="0" w:space="0" w:color="auto"/>
            <w:bottom w:val="none" w:sz="0" w:space="0" w:color="auto"/>
            <w:right w:val="none" w:sz="0" w:space="0" w:color="auto"/>
          </w:divBdr>
          <w:divsChild>
            <w:div w:id="589391987">
              <w:marLeft w:val="0"/>
              <w:marRight w:val="0"/>
              <w:marTop w:val="0"/>
              <w:marBottom w:val="0"/>
              <w:divBdr>
                <w:top w:val="none" w:sz="0" w:space="0" w:color="auto"/>
                <w:left w:val="none" w:sz="0" w:space="0" w:color="auto"/>
                <w:bottom w:val="none" w:sz="0" w:space="0" w:color="auto"/>
                <w:right w:val="none" w:sz="0" w:space="0" w:color="auto"/>
              </w:divBdr>
            </w:div>
          </w:divsChild>
        </w:div>
        <w:div w:id="109445284">
          <w:marLeft w:val="0"/>
          <w:marRight w:val="0"/>
          <w:marTop w:val="0"/>
          <w:marBottom w:val="0"/>
          <w:divBdr>
            <w:top w:val="none" w:sz="0" w:space="0" w:color="auto"/>
            <w:left w:val="none" w:sz="0" w:space="0" w:color="auto"/>
            <w:bottom w:val="none" w:sz="0" w:space="0" w:color="auto"/>
            <w:right w:val="none" w:sz="0" w:space="0" w:color="auto"/>
          </w:divBdr>
          <w:divsChild>
            <w:div w:id="211301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50461">
      <w:bodyDiv w:val="1"/>
      <w:marLeft w:val="0"/>
      <w:marRight w:val="0"/>
      <w:marTop w:val="0"/>
      <w:marBottom w:val="0"/>
      <w:divBdr>
        <w:top w:val="none" w:sz="0" w:space="0" w:color="auto"/>
        <w:left w:val="none" w:sz="0" w:space="0" w:color="auto"/>
        <w:bottom w:val="none" w:sz="0" w:space="0" w:color="auto"/>
        <w:right w:val="none" w:sz="0" w:space="0" w:color="auto"/>
      </w:divBdr>
      <w:divsChild>
        <w:div w:id="865407682">
          <w:marLeft w:val="0"/>
          <w:marRight w:val="0"/>
          <w:marTop w:val="0"/>
          <w:marBottom w:val="0"/>
          <w:divBdr>
            <w:top w:val="none" w:sz="0" w:space="0" w:color="3D3D3D"/>
            <w:left w:val="none" w:sz="0" w:space="0" w:color="3D3D3D"/>
            <w:bottom w:val="none" w:sz="0" w:space="0" w:color="3D3D3D"/>
            <w:right w:val="none" w:sz="0" w:space="0" w:color="3D3D3D"/>
          </w:divBdr>
          <w:divsChild>
            <w:div w:id="2065638614">
              <w:marLeft w:val="0"/>
              <w:marRight w:val="0"/>
              <w:marTop w:val="0"/>
              <w:marBottom w:val="0"/>
              <w:divBdr>
                <w:top w:val="none" w:sz="0" w:space="0" w:color="3D3D3D"/>
                <w:left w:val="none" w:sz="0" w:space="0" w:color="3D3D3D"/>
                <w:bottom w:val="none" w:sz="0" w:space="0" w:color="3D3D3D"/>
                <w:right w:val="none" w:sz="0" w:space="0" w:color="3D3D3D"/>
              </w:divBdr>
            </w:div>
          </w:divsChild>
        </w:div>
      </w:divsChild>
    </w:div>
    <w:div w:id="781802760">
      <w:bodyDiv w:val="1"/>
      <w:marLeft w:val="0"/>
      <w:marRight w:val="0"/>
      <w:marTop w:val="0"/>
      <w:marBottom w:val="0"/>
      <w:divBdr>
        <w:top w:val="none" w:sz="0" w:space="0" w:color="auto"/>
        <w:left w:val="none" w:sz="0" w:space="0" w:color="auto"/>
        <w:bottom w:val="none" w:sz="0" w:space="0" w:color="auto"/>
        <w:right w:val="none" w:sz="0" w:space="0" w:color="auto"/>
      </w:divBdr>
      <w:divsChild>
        <w:div w:id="1577863134">
          <w:marLeft w:val="0"/>
          <w:marRight w:val="0"/>
          <w:marTop w:val="0"/>
          <w:marBottom w:val="0"/>
          <w:divBdr>
            <w:top w:val="none" w:sz="0" w:space="0" w:color="3D3D3D"/>
            <w:left w:val="none" w:sz="0" w:space="0" w:color="3D3D3D"/>
            <w:bottom w:val="none" w:sz="0" w:space="0" w:color="3D3D3D"/>
            <w:right w:val="none" w:sz="0" w:space="0" w:color="3D3D3D"/>
          </w:divBdr>
          <w:divsChild>
            <w:div w:id="986591765">
              <w:marLeft w:val="0"/>
              <w:marRight w:val="0"/>
              <w:marTop w:val="0"/>
              <w:marBottom w:val="0"/>
              <w:divBdr>
                <w:top w:val="none" w:sz="0" w:space="0" w:color="3D3D3D"/>
                <w:left w:val="none" w:sz="0" w:space="0" w:color="3D3D3D"/>
                <w:bottom w:val="none" w:sz="0" w:space="0" w:color="3D3D3D"/>
                <w:right w:val="none" w:sz="0" w:space="0" w:color="3D3D3D"/>
              </w:divBdr>
            </w:div>
          </w:divsChild>
        </w:div>
      </w:divsChild>
    </w:div>
    <w:div w:id="789974105">
      <w:bodyDiv w:val="1"/>
      <w:marLeft w:val="0"/>
      <w:marRight w:val="0"/>
      <w:marTop w:val="0"/>
      <w:marBottom w:val="0"/>
      <w:divBdr>
        <w:top w:val="none" w:sz="0" w:space="0" w:color="auto"/>
        <w:left w:val="none" w:sz="0" w:space="0" w:color="auto"/>
        <w:bottom w:val="none" w:sz="0" w:space="0" w:color="auto"/>
        <w:right w:val="none" w:sz="0" w:space="0" w:color="auto"/>
      </w:divBdr>
      <w:divsChild>
        <w:div w:id="1662779470">
          <w:marLeft w:val="0"/>
          <w:marRight w:val="0"/>
          <w:marTop w:val="0"/>
          <w:marBottom w:val="0"/>
          <w:divBdr>
            <w:top w:val="none" w:sz="0" w:space="0" w:color="3D3D3D"/>
            <w:left w:val="none" w:sz="0" w:space="0" w:color="3D3D3D"/>
            <w:bottom w:val="none" w:sz="0" w:space="0" w:color="3D3D3D"/>
            <w:right w:val="none" w:sz="0" w:space="0" w:color="3D3D3D"/>
          </w:divBdr>
          <w:divsChild>
            <w:div w:id="498085577">
              <w:marLeft w:val="0"/>
              <w:marRight w:val="0"/>
              <w:marTop w:val="0"/>
              <w:marBottom w:val="0"/>
              <w:divBdr>
                <w:top w:val="none" w:sz="0" w:space="0" w:color="3D3D3D"/>
                <w:left w:val="none" w:sz="0" w:space="0" w:color="3D3D3D"/>
                <w:bottom w:val="none" w:sz="0" w:space="0" w:color="3D3D3D"/>
                <w:right w:val="none" w:sz="0" w:space="0" w:color="3D3D3D"/>
              </w:divBdr>
            </w:div>
          </w:divsChild>
        </w:div>
      </w:divsChild>
    </w:div>
    <w:div w:id="882251789">
      <w:bodyDiv w:val="1"/>
      <w:marLeft w:val="0"/>
      <w:marRight w:val="0"/>
      <w:marTop w:val="0"/>
      <w:marBottom w:val="0"/>
      <w:divBdr>
        <w:top w:val="none" w:sz="0" w:space="0" w:color="auto"/>
        <w:left w:val="none" w:sz="0" w:space="0" w:color="auto"/>
        <w:bottom w:val="none" w:sz="0" w:space="0" w:color="auto"/>
        <w:right w:val="none" w:sz="0" w:space="0" w:color="auto"/>
      </w:divBdr>
    </w:div>
    <w:div w:id="1407411537">
      <w:bodyDiv w:val="1"/>
      <w:marLeft w:val="0"/>
      <w:marRight w:val="0"/>
      <w:marTop w:val="0"/>
      <w:marBottom w:val="0"/>
      <w:divBdr>
        <w:top w:val="none" w:sz="0" w:space="0" w:color="auto"/>
        <w:left w:val="none" w:sz="0" w:space="0" w:color="auto"/>
        <w:bottom w:val="none" w:sz="0" w:space="0" w:color="auto"/>
        <w:right w:val="none" w:sz="0" w:space="0" w:color="auto"/>
      </w:divBdr>
    </w:div>
    <w:div w:id="1424718768">
      <w:bodyDiv w:val="1"/>
      <w:marLeft w:val="0"/>
      <w:marRight w:val="0"/>
      <w:marTop w:val="0"/>
      <w:marBottom w:val="0"/>
      <w:divBdr>
        <w:top w:val="none" w:sz="0" w:space="0" w:color="auto"/>
        <w:left w:val="none" w:sz="0" w:space="0" w:color="auto"/>
        <w:bottom w:val="none" w:sz="0" w:space="0" w:color="auto"/>
        <w:right w:val="none" w:sz="0" w:space="0" w:color="auto"/>
      </w:divBdr>
      <w:divsChild>
        <w:div w:id="880168894">
          <w:marLeft w:val="0"/>
          <w:marRight w:val="0"/>
          <w:marTop w:val="0"/>
          <w:marBottom w:val="0"/>
          <w:divBdr>
            <w:top w:val="none" w:sz="0" w:space="0" w:color="3D3D3D"/>
            <w:left w:val="none" w:sz="0" w:space="0" w:color="3D3D3D"/>
            <w:bottom w:val="none" w:sz="0" w:space="0" w:color="3D3D3D"/>
            <w:right w:val="none" w:sz="0" w:space="0" w:color="3D3D3D"/>
          </w:divBdr>
          <w:divsChild>
            <w:div w:id="711733710">
              <w:marLeft w:val="0"/>
              <w:marRight w:val="0"/>
              <w:marTop w:val="0"/>
              <w:marBottom w:val="0"/>
              <w:divBdr>
                <w:top w:val="none" w:sz="0" w:space="0" w:color="3D3D3D"/>
                <w:left w:val="none" w:sz="0" w:space="0" w:color="3D3D3D"/>
                <w:bottom w:val="none" w:sz="0" w:space="0" w:color="3D3D3D"/>
                <w:right w:val="none" w:sz="0" w:space="0" w:color="3D3D3D"/>
              </w:divBdr>
            </w:div>
          </w:divsChild>
        </w:div>
      </w:divsChild>
    </w:div>
    <w:div w:id="1585993975">
      <w:bodyDiv w:val="1"/>
      <w:marLeft w:val="0"/>
      <w:marRight w:val="0"/>
      <w:marTop w:val="0"/>
      <w:marBottom w:val="0"/>
      <w:divBdr>
        <w:top w:val="none" w:sz="0" w:space="0" w:color="auto"/>
        <w:left w:val="none" w:sz="0" w:space="0" w:color="auto"/>
        <w:bottom w:val="none" w:sz="0" w:space="0" w:color="auto"/>
        <w:right w:val="none" w:sz="0" w:space="0" w:color="auto"/>
      </w:divBdr>
    </w:div>
    <w:div w:id="1748068720">
      <w:bodyDiv w:val="1"/>
      <w:marLeft w:val="0"/>
      <w:marRight w:val="0"/>
      <w:marTop w:val="0"/>
      <w:marBottom w:val="0"/>
      <w:divBdr>
        <w:top w:val="none" w:sz="0" w:space="0" w:color="auto"/>
        <w:left w:val="none" w:sz="0" w:space="0" w:color="auto"/>
        <w:bottom w:val="none" w:sz="0" w:space="0" w:color="auto"/>
        <w:right w:val="none" w:sz="0" w:space="0" w:color="auto"/>
      </w:divBdr>
      <w:divsChild>
        <w:div w:id="1359506780">
          <w:marLeft w:val="0"/>
          <w:marRight w:val="0"/>
          <w:marTop w:val="0"/>
          <w:marBottom w:val="0"/>
          <w:divBdr>
            <w:top w:val="none" w:sz="0" w:space="0" w:color="auto"/>
            <w:left w:val="none" w:sz="0" w:space="0" w:color="auto"/>
            <w:bottom w:val="none" w:sz="0" w:space="0" w:color="auto"/>
            <w:right w:val="none" w:sz="0" w:space="0" w:color="auto"/>
          </w:divBdr>
          <w:divsChild>
            <w:div w:id="1251429050">
              <w:marLeft w:val="0"/>
              <w:marRight w:val="0"/>
              <w:marTop w:val="0"/>
              <w:marBottom w:val="0"/>
              <w:divBdr>
                <w:top w:val="none" w:sz="0" w:space="0" w:color="auto"/>
                <w:left w:val="none" w:sz="0" w:space="0" w:color="auto"/>
                <w:bottom w:val="none" w:sz="0" w:space="0" w:color="auto"/>
                <w:right w:val="none" w:sz="0" w:space="0" w:color="auto"/>
              </w:divBdr>
            </w:div>
          </w:divsChild>
        </w:div>
        <w:div w:id="1694722428">
          <w:marLeft w:val="0"/>
          <w:marRight w:val="0"/>
          <w:marTop w:val="0"/>
          <w:marBottom w:val="0"/>
          <w:divBdr>
            <w:top w:val="none" w:sz="0" w:space="0" w:color="auto"/>
            <w:left w:val="none" w:sz="0" w:space="0" w:color="auto"/>
            <w:bottom w:val="none" w:sz="0" w:space="0" w:color="auto"/>
            <w:right w:val="none" w:sz="0" w:space="0" w:color="auto"/>
          </w:divBdr>
          <w:divsChild>
            <w:div w:id="117381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43537">
      <w:bodyDiv w:val="1"/>
      <w:marLeft w:val="0"/>
      <w:marRight w:val="0"/>
      <w:marTop w:val="0"/>
      <w:marBottom w:val="0"/>
      <w:divBdr>
        <w:top w:val="none" w:sz="0" w:space="0" w:color="auto"/>
        <w:left w:val="none" w:sz="0" w:space="0" w:color="auto"/>
        <w:bottom w:val="none" w:sz="0" w:space="0" w:color="auto"/>
        <w:right w:val="none" w:sz="0" w:space="0" w:color="auto"/>
      </w:divBdr>
    </w:div>
    <w:div w:id="2029408207">
      <w:bodyDiv w:val="1"/>
      <w:marLeft w:val="0"/>
      <w:marRight w:val="0"/>
      <w:marTop w:val="0"/>
      <w:marBottom w:val="0"/>
      <w:divBdr>
        <w:top w:val="none" w:sz="0" w:space="0" w:color="auto"/>
        <w:left w:val="none" w:sz="0" w:space="0" w:color="auto"/>
        <w:bottom w:val="none" w:sz="0" w:space="0" w:color="auto"/>
        <w:right w:val="none" w:sz="0" w:space="0" w:color="auto"/>
      </w:divBdr>
    </w:div>
    <w:div w:id="2052344092">
      <w:bodyDiv w:val="1"/>
      <w:marLeft w:val="0"/>
      <w:marRight w:val="0"/>
      <w:marTop w:val="0"/>
      <w:marBottom w:val="0"/>
      <w:divBdr>
        <w:top w:val="none" w:sz="0" w:space="0" w:color="auto"/>
        <w:left w:val="none" w:sz="0" w:space="0" w:color="auto"/>
        <w:bottom w:val="none" w:sz="0" w:space="0" w:color="auto"/>
        <w:right w:val="none" w:sz="0" w:space="0" w:color="auto"/>
      </w:divBdr>
      <w:divsChild>
        <w:div w:id="1667439881">
          <w:marLeft w:val="0"/>
          <w:marRight w:val="0"/>
          <w:marTop w:val="0"/>
          <w:marBottom w:val="0"/>
          <w:divBdr>
            <w:top w:val="none" w:sz="0" w:space="0" w:color="3D3D3D"/>
            <w:left w:val="none" w:sz="0" w:space="0" w:color="3D3D3D"/>
            <w:bottom w:val="none" w:sz="0" w:space="0" w:color="3D3D3D"/>
            <w:right w:val="none" w:sz="0" w:space="0" w:color="3D3D3D"/>
          </w:divBdr>
          <w:divsChild>
            <w:div w:id="905069855">
              <w:marLeft w:val="0"/>
              <w:marRight w:val="0"/>
              <w:marTop w:val="0"/>
              <w:marBottom w:val="0"/>
              <w:divBdr>
                <w:top w:val="none" w:sz="0" w:space="0" w:color="3D3D3D"/>
                <w:left w:val="none" w:sz="0" w:space="0" w:color="3D3D3D"/>
                <w:bottom w:val="none" w:sz="0" w:space="0" w:color="3D3D3D"/>
                <w:right w:val="none" w:sz="0" w:space="0" w:color="3D3D3D"/>
              </w:divBdr>
            </w:div>
          </w:divsChild>
        </w:div>
      </w:divsChild>
    </w:div>
    <w:div w:id="2075741846">
      <w:bodyDiv w:val="1"/>
      <w:marLeft w:val="0"/>
      <w:marRight w:val="0"/>
      <w:marTop w:val="0"/>
      <w:marBottom w:val="0"/>
      <w:divBdr>
        <w:top w:val="none" w:sz="0" w:space="0" w:color="auto"/>
        <w:left w:val="none" w:sz="0" w:space="0" w:color="auto"/>
        <w:bottom w:val="none" w:sz="0" w:space="0" w:color="auto"/>
        <w:right w:val="none" w:sz="0" w:space="0" w:color="auto"/>
      </w:divBdr>
    </w:div>
    <w:div w:id="2087457123">
      <w:bodyDiv w:val="1"/>
      <w:marLeft w:val="0"/>
      <w:marRight w:val="0"/>
      <w:marTop w:val="0"/>
      <w:marBottom w:val="0"/>
      <w:divBdr>
        <w:top w:val="none" w:sz="0" w:space="0" w:color="auto"/>
        <w:left w:val="none" w:sz="0" w:space="0" w:color="auto"/>
        <w:bottom w:val="none" w:sz="0" w:space="0" w:color="auto"/>
        <w:right w:val="none" w:sz="0" w:space="0" w:color="auto"/>
      </w:divBdr>
      <w:divsChild>
        <w:div w:id="941691645">
          <w:marLeft w:val="0"/>
          <w:marRight w:val="0"/>
          <w:marTop w:val="0"/>
          <w:marBottom w:val="0"/>
          <w:divBdr>
            <w:top w:val="none" w:sz="0" w:space="0" w:color="auto"/>
            <w:left w:val="none" w:sz="0" w:space="0" w:color="auto"/>
            <w:bottom w:val="none" w:sz="0" w:space="0" w:color="auto"/>
            <w:right w:val="none" w:sz="0" w:space="0" w:color="auto"/>
          </w:divBdr>
          <w:divsChild>
            <w:div w:id="505095012">
              <w:marLeft w:val="0"/>
              <w:marRight w:val="0"/>
              <w:marTop w:val="0"/>
              <w:marBottom w:val="0"/>
              <w:divBdr>
                <w:top w:val="none" w:sz="0" w:space="0" w:color="auto"/>
                <w:left w:val="none" w:sz="0" w:space="0" w:color="auto"/>
                <w:bottom w:val="none" w:sz="0" w:space="0" w:color="auto"/>
                <w:right w:val="none" w:sz="0" w:space="0" w:color="auto"/>
              </w:divBdr>
            </w:div>
          </w:divsChild>
        </w:div>
        <w:div w:id="2002075616">
          <w:marLeft w:val="0"/>
          <w:marRight w:val="0"/>
          <w:marTop w:val="0"/>
          <w:marBottom w:val="0"/>
          <w:divBdr>
            <w:top w:val="none" w:sz="0" w:space="0" w:color="auto"/>
            <w:left w:val="none" w:sz="0" w:space="0" w:color="auto"/>
            <w:bottom w:val="none" w:sz="0" w:space="0" w:color="auto"/>
            <w:right w:val="none" w:sz="0" w:space="0" w:color="auto"/>
          </w:divBdr>
          <w:divsChild>
            <w:div w:id="29275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 Type="http://schemas.openxmlformats.org/officeDocument/2006/relationships/customXml" Target="/customXML/item2.xml" Id="imanag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item2.xml><?xml version="1.0" encoding="utf-8"?>
<properties xmlns="http://www.imanage.com/work/xmlschema">
  <documentid>ACTIVE!318354213.5</documentid>
  <senderid>DAIGLEMC</senderid>
  <senderemail>MATT.DAIGLE@TROUTMAN.COM</senderemail>
  <lastmodified>2025-08-26T11:17:00.0000000-04:00</lastmodified>
  <database>ACTIVE</database>
</propertie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CF3FE-B879-4DF9-A035-0572681BA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8</Pages>
  <Words>1827</Words>
  <Characters>10620</Characters>
  <Application>Microsoft Office Word</Application>
  <DocSecurity>0</DocSecurity>
  <Lines>663</Lines>
  <Paragraphs>518</Paragraphs>
  <ScaleCrop>false</ScaleCrop>
  <HeadingPairs>
    <vt:vector size="2" baseType="variant">
      <vt:variant>
        <vt:lpstr>Title</vt:lpstr>
      </vt:variant>
      <vt:variant>
        <vt:i4>1</vt:i4>
      </vt:variant>
    </vt:vector>
  </HeadingPairs>
  <TitlesOfParts>
    <vt:vector size="1" baseType="lpstr">
      <vt:lpstr/>
    </vt:vector>
  </TitlesOfParts>
  <Company>Troutman Pepper Hamilton Sanders, LLP</Company>
  <LinksUpToDate>false</LinksUpToDate>
  <CharactersWithSpaces>11929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Daigle, Matthew C.</dc:creator>
  <cp:keywords/>
  <dc:description/>
  <cp:lastModifiedBy>Hewitson, Steven J.</cp:lastModifiedBy>
  <cp:revision>12</cp:revision>
  <cp:lastPrinted>2025-08-12T14:56:00Z</cp:lastPrinted>
  <dcterms:created xsi:type="dcterms:W3CDTF">2025-08-19T18:48:00Z</dcterms:created>
  <dcterms:modified xsi:type="dcterms:W3CDTF">2025-08-26T15:17:00Z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WDocID">
    <vt:lpwstr>318354213v5</vt:lpwstr>
  </property>
</Properties>
</file>